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spacing w:before="0" w:beforeLines="-2147483648" w:after="0" w:line="260" w:lineRule="auto"/>
        <w:jc w:val="both"/>
        <w:textAlignment w:val="baseline"/>
        <w:rPr>
          <w:rFonts w:hint="default" w:ascii="Arial" w:hAnsi="Arial" w:cs="Times New Roman"/>
          <w:b/>
          <w:sz w:val="24"/>
          <w:lang w:val="en-US" w:eastAsia="ja-JP"/>
        </w:rPr>
      </w:pPr>
      <w:r>
        <w:rPr>
          <w:rFonts w:ascii="Arial" w:hAnsi="Arial" w:cs="Times New Roman"/>
          <w:b/>
          <w:sz w:val="24"/>
          <w:lang w:val="en-US" w:eastAsia="ja-JP"/>
        </w:rPr>
        <w:t>3GPP TSG RAN WG1 #11</w:t>
      </w:r>
      <w:r>
        <w:rPr>
          <w:rFonts w:hint="default" w:ascii="Arial" w:hAnsi="Arial" w:cs="Times New Roman"/>
          <w:b/>
          <w:sz w:val="24"/>
          <w:lang w:val="en-US" w:eastAsia="ja-JP"/>
        </w:rPr>
        <w:t>2</w:t>
      </w:r>
      <w:r>
        <w:rPr>
          <w:rFonts w:ascii="Arial" w:hAnsi="Arial" w:cs="Times New Roman"/>
          <w:b/>
          <w:sz w:val="24"/>
          <w:lang w:val="en-US" w:eastAsia="ja-JP"/>
        </w:rPr>
        <w:tab/>
      </w:r>
      <w:r>
        <w:rPr>
          <w:rFonts w:hint="eastAsia" w:ascii="Arial" w:hAnsi="Arial" w:cs="Times New Roman"/>
          <w:b/>
          <w:sz w:val="24"/>
          <w:lang w:val="en-US" w:eastAsia="ja-JP"/>
        </w:rPr>
        <w:t>R1-2301015</w:t>
      </w:r>
    </w:p>
    <w:p>
      <w:pPr>
        <w:tabs>
          <w:tab w:val="right" w:pos="9639"/>
        </w:tabs>
        <w:overflowPunct w:val="0"/>
        <w:autoSpaceDE w:val="0"/>
        <w:autoSpaceDN w:val="0"/>
        <w:adjustRightInd w:val="0"/>
        <w:spacing w:before="0" w:beforeLines="-2147483648" w:after="0" w:line="260" w:lineRule="auto"/>
        <w:jc w:val="both"/>
        <w:textAlignment w:val="baseline"/>
        <w:rPr>
          <w:rFonts w:ascii="Arial" w:hAnsi="Arial" w:cs="Times New Roman"/>
          <w:b/>
          <w:sz w:val="24"/>
          <w:lang w:val="en-US" w:eastAsia="ja-JP"/>
        </w:rPr>
      </w:pPr>
      <w:r>
        <w:rPr>
          <w:rFonts w:hint="eastAsia" w:ascii="Arial" w:hAnsi="Arial" w:cs="Times New Roman"/>
          <w:b/>
          <w:sz w:val="24"/>
          <w:lang w:val="en-US" w:eastAsia="ja-JP"/>
        </w:rPr>
        <w:t>Athens, Greece, February 27th – March 3rd, 2023</w:t>
      </w:r>
    </w:p>
    <w:p>
      <w:pPr>
        <w:widowControl w:val="0"/>
        <w:spacing w:after="0"/>
        <w:jc w:val="both"/>
        <w:rPr>
          <w:sz w:val="24"/>
          <w:szCs w:val="24"/>
          <w:lang w:eastAsia="zh-CN"/>
        </w:rPr>
      </w:pPr>
    </w:p>
    <w:p>
      <w:pPr>
        <w:tabs>
          <w:tab w:val="left" w:pos="1985"/>
        </w:tabs>
        <w:overflowPunct w:val="0"/>
        <w:autoSpaceDE w:val="0"/>
        <w:autoSpaceDN w:val="0"/>
        <w:adjustRightInd w:val="0"/>
        <w:spacing w:before="0" w:beforeLines="-2147483648" w:after="0" w:line="240" w:lineRule="auto"/>
        <w:jc w:val="both"/>
        <w:textAlignment w:val="baseline"/>
        <w:rPr>
          <w:rFonts w:ascii="Arial" w:hAnsi="Arial" w:cs="Times New Roman"/>
          <w:b/>
          <w:sz w:val="22"/>
          <w:szCs w:val="22"/>
          <w:lang w:val="en-US"/>
        </w:rPr>
      </w:pPr>
      <w:bookmarkStart w:id="0" w:name="OLE_LINK3"/>
      <w:bookmarkStart w:id="1" w:name="OLE_LINK4"/>
      <w:r>
        <w:rPr>
          <w:rFonts w:ascii="Arial" w:hAnsi="Arial" w:cs="Times New Roman"/>
          <w:b/>
          <w:sz w:val="22"/>
          <w:szCs w:val="22"/>
          <w:lang w:val="en-US"/>
        </w:rPr>
        <w:t xml:space="preserve">Source: </w:t>
      </w:r>
      <w:r>
        <w:rPr>
          <w:rFonts w:ascii="Arial" w:hAnsi="Arial" w:cs="Times New Roman"/>
          <w:b/>
          <w:sz w:val="22"/>
          <w:szCs w:val="22"/>
          <w:lang w:val="en-US"/>
        </w:rPr>
        <w:tab/>
      </w:r>
      <w:r>
        <w:rPr>
          <w:rFonts w:ascii="Arial" w:hAnsi="Arial" w:cs="Times New Roman"/>
          <w:b/>
          <w:sz w:val="22"/>
          <w:szCs w:val="22"/>
          <w:lang w:val="en-US"/>
        </w:rPr>
        <w:t>CMCC</w:t>
      </w:r>
    </w:p>
    <w:p>
      <w:pPr>
        <w:tabs>
          <w:tab w:val="left" w:pos="1985"/>
        </w:tabs>
        <w:overflowPunct w:val="0"/>
        <w:autoSpaceDE w:val="0"/>
        <w:autoSpaceDN w:val="0"/>
        <w:adjustRightInd w:val="0"/>
        <w:spacing w:before="0" w:beforeLines="-2147483648" w:after="0" w:line="240" w:lineRule="auto"/>
        <w:jc w:val="both"/>
        <w:textAlignment w:val="baseline"/>
        <w:rPr>
          <w:rFonts w:ascii="Arial" w:hAnsi="Arial" w:cs="Times New Roman"/>
          <w:b/>
          <w:sz w:val="22"/>
          <w:szCs w:val="22"/>
          <w:lang w:val="en-US"/>
        </w:rPr>
      </w:pPr>
      <w:r>
        <w:rPr>
          <w:rFonts w:ascii="Arial" w:hAnsi="Arial" w:cs="Times New Roman"/>
          <w:b/>
          <w:sz w:val="22"/>
          <w:szCs w:val="22"/>
          <w:lang w:val="en-US"/>
        </w:rPr>
        <w:t>Title:</w:t>
      </w:r>
      <w:bookmarkStart w:id="2" w:name="Title"/>
      <w:bookmarkEnd w:id="2"/>
      <w:r>
        <w:rPr>
          <w:rFonts w:ascii="Arial" w:hAnsi="Arial" w:cs="Times New Roman"/>
          <w:b/>
          <w:sz w:val="22"/>
          <w:szCs w:val="22"/>
          <w:lang w:val="en-US"/>
        </w:rPr>
        <w:tab/>
      </w:r>
      <w:r>
        <w:rPr>
          <w:rFonts w:hint="eastAsia" w:ascii="Arial" w:hAnsi="Arial" w:cs="Times New Roman"/>
          <w:b/>
          <w:sz w:val="22"/>
          <w:szCs w:val="22"/>
          <w:lang w:val="en-US"/>
        </w:rPr>
        <w:t>Discussion on cell DTX/DRX enhancements</w:t>
      </w:r>
    </w:p>
    <w:p>
      <w:pPr>
        <w:tabs>
          <w:tab w:val="left" w:pos="1985"/>
        </w:tabs>
        <w:overflowPunct w:val="0"/>
        <w:autoSpaceDE w:val="0"/>
        <w:autoSpaceDN w:val="0"/>
        <w:adjustRightInd w:val="0"/>
        <w:spacing w:before="0" w:beforeLines="-2147483648" w:after="0" w:line="240" w:lineRule="auto"/>
        <w:jc w:val="both"/>
        <w:textAlignment w:val="baseline"/>
        <w:rPr>
          <w:rFonts w:hint="default" w:ascii="Arial" w:hAnsi="Arial" w:cs="Times New Roman"/>
          <w:b/>
          <w:sz w:val="22"/>
          <w:szCs w:val="22"/>
          <w:lang w:val="en-US"/>
        </w:rPr>
      </w:pPr>
      <w:r>
        <w:rPr>
          <w:rFonts w:ascii="Arial" w:hAnsi="Arial" w:cs="Times New Roman"/>
          <w:b/>
          <w:sz w:val="22"/>
          <w:szCs w:val="22"/>
          <w:lang w:val="en-US"/>
        </w:rPr>
        <w:t>Agenda item:</w:t>
      </w:r>
      <w:r>
        <w:rPr>
          <w:rFonts w:ascii="Arial" w:hAnsi="Arial" w:cs="Times New Roman"/>
          <w:b/>
          <w:sz w:val="22"/>
          <w:szCs w:val="22"/>
          <w:lang w:val="en-US"/>
        </w:rPr>
        <w:tab/>
      </w:r>
      <w:r>
        <w:rPr>
          <w:rFonts w:ascii="Arial" w:hAnsi="Arial" w:cs="Times New Roman"/>
          <w:b/>
          <w:sz w:val="22"/>
          <w:szCs w:val="22"/>
          <w:lang w:val="en-US" w:eastAsia="zh-CN"/>
        </w:rPr>
        <w:t>9.</w:t>
      </w:r>
      <w:r>
        <w:rPr>
          <w:rFonts w:hint="default" w:ascii="Arial" w:hAnsi="Arial" w:cs="Times New Roman"/>
          <w:b/>
          <w:sz w:val="22"/>
          <w:szCs w:val="22"/>
          <w:lang w:val="en-US" w:eastAsia="zh-CN"/>
        </w:rPr>
        <w:t>7.2</w:t>
      </w:r>
    </w:p>
    <w:bookmarkEnd w:id="0"/>
    <w:bookmarkEnd w:id="1"/>
    <w:p>
      <w:pPr>
        <w:overflowPunct w:val="0"/>
        <w:autoSpaceDE w:val="0"/>
        <w:autoSpaceDN w:val="0"/>
        <w:adjustRightInd w:val="0"/>
        <w:spacing w:before="0" w:beforeLines="-2147483648" w:after="240" w:line="240" w:lineRule="auto"/>
        <w:ind w:left="1990" w:hanging="1990"/>
        <w:jc w:val="both"/>
        <w:textAlignment w:val="baseline"/>
        <w:rPr>
          <w:rFonts w:ascii="Arial" w:hAnsi="Arial" w:cs="Times New Roman"/>
          <w:b/>
          <w:sz w:val="22"/>
          <w:szCs w:val="22"/>
          <w:lang w:val="en-US"/>
        </w:rPr>
      </w:pPr>
      <w:r>
        <w:rPr>
          <w:rFonts w:ascii="Arial" w:hAnsi="Arial" w:cs="Times New Roman"/>
          <w:b/>
          <w:sz w:val="22"/>
          <w:szCs w:val="22"/>
          <w:lang w:val="en-US"/>
        </w:rPr>
        <w:t>Document for:</w:t>
      </w:r>
      <w:r>
        <w:rPr>
          <w:rFonts w:ascii="Arial" w:hAnsi="Arial" w:cs="Times New Roman"/>
          <w:b/>
          <w:sz w:val="22"/>
          <w:szCs w:val="22"/>
          <w:lang w:val="en-US"/>
        </w:rPr>
        <w:tab/>
      </w:r>
      <w:bookmarkStart w:id="3" w:name="DocumentFor"/>
      <w:bookmarkEnd w:id="3"/>
      <w:r>
        <w:rPr>
          <w:rFonts w:ascii="Arial" w:hAnsi="Arial" w:cs="Times New Roman"/>
          <w:b/>
          <w:sz w:val="22"/>
          <w:szCs w:val="22"/>
          <w:lang w:val="en-US"/>
        </w:rPr>
        <w:t>Discussion/Decision</w:t>
      </w:r>
    </w:p>
    <w:p>
      <w:pPr>
        <w:keepNext/>
        <w:keepLines/>
        <w:numPr>
          <w:ilvl w:val="0"/>
          <w:numId w:val="5"/>
        </w:numPr>
        <w:pBdr>
          <w:top w:val="single" w:color="auto" w:sz="12" w:space="3"/>
        </w:pBdr>
        <w:overflowPunct w:val="0"/>
        <w:autoSpaceDE w:val="0"/>
        <w:autoSpaceDN w:val="0"/>
        <w:adjustRightInd w:val="0"/>
        <w:spacing w:before="240" w:after="180"/>
        <w:textAlignment w:val="auto"/>
        <w:outlineLvl w:val="0"/>
        <w:rPr>
          <w:rFonts w:ascii="Arial" w:hAnsi="Arial" w:eastAsia="宋体" w:cs="Times New Roman"/>
          <w:sz w:val="36"/>
          <w:lang w:val="en-GB" w:eastAsia="en-US" w:bidi="ar-SA"/>
        </w:rPr>
      </w:pPr>
      <w:bookmarkStart w:id="4" w:name="_Ref4817"/>
      <w:r>
        <w:rPr>
          <w:rFonts w:ascii="Arial" w:hAnsi="Arial" w:eastAsia="宋体" w:cs="Times New Roman"/>
          <w:sz w:val="36"/>
          <w:lang w:val="en-GB" w:eastAsia="en-US" w:bidi="ar-SA"/>
        </w:rPr>
        <w:t>Introduction</w:t>
      </w:r>
      <w:bookmarkEnd w:id="4"/>
    </w:p>
    <w:p>
      <w:pPr>
        <w:spacing w:before="120"/>
        <w:jc w:val="both"/>
        <w:rPr>
          <w:rFonts w:hint="default"/>
          <w:sz w:val="21"/>
          <w:szCs w:val="21"/>
          <w:lang w:val="en-US" w:eastAsia="zh-CN"/>
        </w:rPr>
      </w:pPr>
      <w:r>
        <w:rPr>
          <w:rFonts w:hint="default"/>
          <w:sz w:val="21"/>
          <w:szCs w:val="21"/>
          <w:lang w:val="en-US" w:eastAsia="zh-CN"/>
        </w:rPr>
        <w:t>The new work item</w:t>
      </w:r>
      <w:r>
        <w:rPr>
          <w:sz w:val="21"/>
          <w:szCs w:val="21"/>
          <w:lang w:eastAsia="zh-CN"/>
        </w:rPr>
        <w:t xml:space="preserve"> on network energy savings was approved[1]</w:t>
      </w:r>
      <w:r>
        <w:rPr>
          <w:rFonts w:hint="default"/>
          <w:sz w:val="21"/>
          <w:szCs w:val="21"/>
          <w:lang w:val="en-US" w:eastAsia="zh-CN"/>
        </w:rPr>
        <w:t xml:space="preserve"> during RAN#99 meeting</w:t>
      </w:r>
      <w:r>
        <w:rPr>
          <w:sz w:val="21"/>
          <w:szCs w:val="21"/>
          <w:lang w:eastAsia="zh-CN"/>
        </w:rPr>
        <w:t xml:space="preserve">, </w:t>
      </w:r>
      <w:r>
        <w:rPr>
          <w:rFonts w:hint="default"/>
          <w:sz w:val="21"/>
          <w:szCs w:val="21"/>
          <w:lang w:val="en-US" w:eastAsia="zh-CN"/>
        </w:rPr>
        <w:t>techniques in time/frequency/spatial/power domain will be specified. The time domain enhancement includes cell DTX/DRX, and the corresponding objective is as following,</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5" w:type="dxa"/>
          </w:tcPr>
          <w:p>
            <w:pPr>
              <w:numPr>
                <w:ilvl w:val="0"/>
                <w:numId w:val="6"/>
              </w:numPr>
              <w:spacing w:after="0"/>
              <w:ind w:left="200" w:leftChars="100"/>
              <w:rPr>
                <w:bCs/>
                <w:sz w:val="21"/>
                <w:szCs w:val="21"/>
              </w:rPr>
            </w:pPr>
            <w:r>
              <w:rPr>
                <w:bCs/>
                <w:sz w:val="21"/>
                <w:szCs w:val="21"/>
              </w:rPr>
              <w:t>Specify enhancement on cell DTX/DRX mechanism including the alignment of cell DTX/DRX and UE DRX in RRC_CONNECTED mode, and inter-node information exchange on cell DTX/DRX [RAN2, RAN1, RAN3]</w:t>
            </w:r>
          </w:p>
          <w:p>
            <w:pPr>
              <w:numPr>
                <w:ilvl w:val="0"/>
                <w:numId w:val="7"/>
              </w:numPr>
              <w:spacing w:before="120" w:beforeLines="50" w:after="120" w:afterLines="50"/>
              <w:ind w:left="1049" w:hanging="329"/>
              <w:jc w:val="both"/>
              <w:rPr>
                <w:bCs/>
                <w:sz w:val="21"/>
                <w:szCs w:val="21"/>
                <w:lang w:val="en-US" w:eastAsia="zh-CN"/>
              </w:rPr>
            </w:pPr>
            <w:r>
              <w:rPr>
                <w:bCs/>
                <w:sz w:val="21"/>
                <w:szCs w:val="21"/>
                <w:lang w:val="en-US" w:eastAsia="zh-CN"/>
              </w:rPr>
              <w:t>Note: No change for SSB transmission due to cell DTX/DRX.</w:t>
            </w:r>
          </w:p>
          <w:p>
            <w:pPr>
              <w:numPr>
                <w:ilvl w:val="0"/>
                <w:numId w:val="7"/>
              </w:numPr>
              <w:spacing w:before="120" w:beforeLines="50" w:after="120" w:afterLines="50"/>
              <w:ind w:left="1049" w:hanging="329"/>
              <w:jc w:val="both"/>
              <w:rPr>
                <w:bCs/>
                <w:sz w:val="21"/>
                <w:szCs w:val="21"/>
                <w:lang w:val="en-US"/>
              </w:rPr>
            </w:pPr>
            <w:r>
              <w:rPr>
                <w:bCs/>
                <w:sz w:val="21"/>
                <w:szCs w:val="21"/>
                <w:lang w:val="en-US" w:eastAsia="zh-CN"/>
              </w:rPr>
              <w:t>Note: The impact to IDLE/INACTIVE UEs due to the above enhancement should be avoided.</w:t>
            </w:r>
          </w:p>
        </w:tc>
      </w:tr>
    </w:tbl>
    <w:p>
      <w:pPr>
        <w:snapToGrid w:val="0"/>
        <w:spacing w:before="120"/>
        <w:jc w:val="both"/>
        <w:rPr>
          <w:sz w:val="21"/>
          <w:szCs w:val="21"/>
          <w:lang w:val="en-US"/>
        </w:rPr>
      </w:pPr>
      <w:r>
        <w:rPr>
          <w:sz w:val="21"/>
          <w:szCs w:val="21"/>
        </w:rPr>
        <w:t>In this contribution, we will</w:t>
      </w:r>
      <w:r>
        <w:rPr>
          <w:rFonts w:hint="default"/>
          <w:sz w:val="21"/>
          <w:szCs w:val="21"/>
          <w:lang w:val="en-US"/>
        </w:rPr>
        <w:t xml:space="preserve"> give our consideration on</w:t>
      </w:r>
      <w:r>
        <w:rPr>
          <w:sz w:val="21"/>
          <w:szCs w:val="21"/>
        </w:rPr>
        <w:t xml:space="preserve"> </w:t>
      </w:r>
      <w:r>
        <w:rPr>
          <w:rFonts w:hint="default"/>
          <w:sz w:val="21"/>
          <w:szCs w:val="21"/>
          <w:lang w:val="en-US"/>
        </w:rPr>
        <w:t>the RAN1 related enhancement for cell DTX/DRX</w:t>
      </w:r>
      <w:r>
        <w:rPr>
          <w:sz w:val="21"/>
          <w:szCs w:val="21"/>
          <w:lang w:val="en-US"/>
        </w:rPr>
        <w:t>.</w:t>
      </w:r>
    </w:p>
    <w:p>
      <w:pPr>
        <w:snapToGrid w:val="0"/>
        <w:spacing w:before="120"/>
        <w:jc w:val="both"/>
        <w:outlineLvl w:val="0"/>
        <w:rPr>
          <w:rFonts w:hint="default"/>
          <w:b/>
          <w:bCs/>
          <w:i/>
          <w:iCs/>
          <w:sz w:val="21"/>
          <w:szCs w:val="21"/>
          <w:u w:val="single"/>
          <w:lang w:val="en-US" w:eastAsia="zh-CN"/>
        </w:rPr>
      </w:pPr>
      <w:r>
        <w:rPr>
          <w:rFonts w:ascii="Arial" w:hAnsi="Arial" w:cs="Arial"/>
          <w:b/>
          <w:sz w:val="24"/>
          <w:szCs w:val="24"/>
        </w:rPr>
        <w:t>2.</w:t>
      </w:r>
      <w:r>
        <w:rPr>
          <w:rFonts w:hint="default" w:ascii="Arial" w:hAnsi="Arial" w:cs="Arial"/>
          <w:b/>
          <w:sz w:val="24"/>
          <w:szCs w:val="24"/>
          <w:lang w:val="en-US"/>
        </w:rPr>
        <w:t>Discussion on cell DTX/DRX</w:t>
      </w:r>
      <w:r>
        <w:rPr>
          <w:rFonts w:ascii="Arial" w:hAnsi="Arial" w:cs="Arial"/>
          <w:b/>
          <w:sz w:val="24"/>
          <w:szCs w:val="24"/>
        </w:rPr>
        <w:t xml:space="preserve"> </w:t>
      </w:r>
    </w:p>
    <w:p>
      <w:pPr>
        <w:rPr>
          <w:rFonts w:hint="default" w:ascii="Times New Roman" w:hAnsi="Times New Roman" w:cs="Times New Roman"/>
          <w:lang w:val="en-US" w:eastAsia="zh-CN"/>
        </w:rPr>
      </w:pPr>
      <w:r>
        <w:rPr>
          <w:rFonts w:hint="default" w:ascii="Times New Roman" w:hAnsi="Times New Roman" w:cs="Times New Roman"/>
          <w:lang w:val="en-US" w:eastAsia="zh-CN"/>
        </w:rPr>
        <w:t>By defining cell DTX/DRX, more inactive chance</w:t>
      </w:r>
      <w:r>
        <w:rPr>
          <w:rFonts w:hint="default" w:cs="Times New Roman"/>
          <w:lang w:val="en-US" w:eastAsia="zh-CN"/>
        </w:rPr>
        <w:t>s</w:t>
      </w:r>
      <w:r>
        <w:rPr>
          <w:rFonts w:hint="default" w:ascii="Times New Roman" w:hAnsi="Times New Roman" w:cs="Times New Roman"/>
          <w:lang w:val="en-US" w:eastAsia="zh-CN"/>
        </w:rPr>
        <w:t xml:space="preserve"> can be made for gNB to enter sleep, and the power consumption of gNB can be reduced. The following issues need to be considered when cell DTX/DRX is introduced.</w:t>
      </w:r>
    </w:p>
    <w:p>
      <w:pPr>
        <w:numPr>
          <w:ilvl w:val="0"/>
          <w:numId w:val="8"/>
        </w:numPr>
        <w:ind w:left="42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 xml:space="preserve">Dependence of cell DTX and DRX configuration </w:t>
      </w:r>
    </w:p>
    <w:p>
      <w:pPr>
        <w:rPr>
          <w:rFonts w:hint="default"/>
          <w:lang w:val="en-US" w:eastAsia="zh-CN"/>
        </w:rPr>
      </w:pPr>
      <w:r>
        <w:rPr>
          <w:rFonts w:hint="default"/>
          <w:lang w:val="en-US" w:eastAsia="zh-CN"/>
        </w:rPr>
        <w:t>Cell DTX and DRX are related to gNB transmission and reception respectively. Whether configuration of DTX and DRX has dependencies needs to be discussed. According to TR38.864, the power consumption of downlink is much higher than uplink, as shown in Table.1, which corresponds to table 5.1-3 in TR38.864. It can be seen that for BS category 1, the power consumption of active DL is two times of that of active uplink, while for BS category 2, the power consumption of active DL is more than four times of that of active uplink. So downlink DTX is more important for gNB power saving.</w:t>
      </w:r>
    </w:p>
    <w:p>
      <w:pPr>
        <w:pStyle w:val="41"/>
        <w:rPr>
          <w:rFonts w:hint="default"/>
          <w:lang w:val="en-US"/>
        </w:rPr>
      </w:pPr>
      <w:r>
        <w:rPr>
          <w:rFonts w:hint="default"/>
          <w:lang w:val="en-US"/>
        </w:rPr>
        <w:t xml:space="preserve">Table.1 </w:t>
      </w:r>
      <w:r>
        <w:t>Relative power values P for reference configuration Set 1, Set 2 and Set 3</w:t>
      </w:r>
      <w:r>
        <w:rPr>
          <w:rFonts w:hint="default"/>
          <w:lang w:val="en-US"/>
        </w:rPr>
        <w:t xml:space="preserve"> ( </w:t>
      </w:r>
      <w:r>
        <w:t>Table 5.1-3</w:t>
      </w:r>
      <w:r>
        <w:rPr>
          <w:rFonts w:hint="default"/>
          <w:lang w:val="en-US"/>
        </w:rPr>
        <w:t xml:space="preserve"> in TR38.864)</w:t>
      </w:r>
    </w:p>
    <w:tbl>
      <w:tblPr>
        <w:tblStyle w:val="19"/>
        <w:tblW w:w="8187"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965"/>
        <w:gridCol w:w="1037"/>
        <w:gridCol w:w="1037"/>
        <w:gridCol w:w="1037"/>
        <w:gridCol w:w="1037"/>
        <w:gridCol w:w="1037"/>
        <w:gridCol w:w="1037"/>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jc w:val="center"/>
        </w:trPr>
        <w:tc>
          <w:tcPr>
            <w:tcW w:w="0" w:type="auto"/>
            <w:vMerge w:val="restart"/>
            <w:vAlign w:val="center"/>
          </w:tcPr>
          <w:p>
            <w:pPr>
              <w:pStyle w:val="42"/>
            </w:pPr>
            <w:r>
              <w:t>Power state</w:t>
            </w:r>
          </w:p>
        </w:tc>
        <w:tc>
          <w:tcPr>
            <w:tcW w:w="0" w:type="auto"/>
            <w:gridSpan w:val="3"/>
            <w:vAlign w:val="center"/>
          </w:tcPr>
          <w:p>
            <w:pPr>
              <w:pStyle w:val="42"/>
            </w:pPr>
            <w:r>
              <w:t>BS Category 1</w:t>
            </w:r>
          </w:p>
        </w:tc>
        <w:tc>
          <w:tcPr>
            <w:tcW w:w="0" w:type="auto"/>
            <w:gridSpan w:val="3"/>
            <w:vAlign w:val="center"/>
          </w:tcPr>
          <w:p>
            <w:pPr>
              <w:pStyle w:val="42"/>
            </w:pPr>
            <w:r>
              <w:t>BS Category 2</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jc w:val="center"/>
        </w:trPr>
        <w:tc>
          <w:tcPr>
            <w:tcW w:w="0" w:type="auto"/>
            <w:vMerge w:val="continue"/>
            <w:vAlign w:val="center"/>
          </w:tcPr>
          <w:p>
            <w:pPr>
              <w:pStyle w:val="42"/>
            </w:pPr>
          </w:p>
        </w:tc>
        <w:tc>
          <w:tcPr>
            <w:tcW w:w="0" w:type="auto"/>
            <w:vAlign w:val="center"/>
          </w:tcPr>
          <w:p>
            <w:pPr>
              <w:pStyle w:val="42"/>
            </w:pPr>
            <w:r>
              <w:rPr>
                <w:rFonts w:hint="eastAsia"/>
              </w:rPr>
              <w:t>S</w:t>
            </w:r>
            <w:r>
              <w:t>et 1</w:t>
            </w:r>
          </w:p>
        </w:tc>
        <w:tc>
          <w:tcPr>
            <w:tcW w:w="0" w:type="auto"/>
            <w:vAlign w:val="center"/>
          </w:tcPr>
          <w:p>
            <w:pPr>
              <w:pStyle w:val="42"/>
            </w:pPr>
            <w:r>
              <w:t>Set 2</w:t>
            </w:r>
          </w:p>
        </w:tc>
        <w:tc>
          <w:tcPr>
            <w:tcW w:w="0" w:type="auto"/>
            <w:vAlign w:val="center"/>
          </w:tcPr>
          <w:p>
            <w:pPr>
              <w:pStyle w:val="42"/>
            </w:pPr>
            <w:r>
              <w:t>Set 3</w:t>
            </w:r>
          </w:p>
        </w:tc>
        <w:tc>
          <w:tcPr>
            <w:tcW w:w="0" w:type="auto"/>
            <w:vAlign w:val="center"/>
          </w:tcPr>
          <w:p>
            <w:pPr>
              <w:pStyle w:val="42"/>
            </w:pPr>
            <w:r>
              <w:rPr>
                <w:rFonts w:hint="eastAsia"/>
              </w:rPr>
              <w:t>S</w:t>
            </w:r>
            <w:r>
              <w:t>et 1</w:t>
            </w:r>
          </w:p>
        </w:tc>
        <w:tc>
          <w:tcPr>
            <w:tcW w:w="0" w:type="auto"/>
            <w:vAlign w:val="center"/>
          </w:tcPr>
          <w:p>
            <w:pPr>
              <w:pStyle w:val="42"/>
            </w:pPr>
            <w:r>
              <w:t>Set 2</w:t>
            </w:r>
          </w:p>
        </w:tc>
        <w:tc>
          <w:tcPr>
            <w:tcW w:w="0" w:type="auto"/>
            <w:vAlign w:val="center"/>
          </w:tcPr>
          <w:p>
            <w:pPr>
              <w:pStyle w:val="42"/>
            </w:pPr>
            <w:r>
              <w:t>Set 3</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jc w:val="center"/>
        </w:trPr>
        <w:tc>
          <w:tcPr>
            <w:tcW w:w="0" w:type="auto"/>
            <w:vAlign w:val="center"/>
          </w:tcPr>
          <w:p>
            <w:pPr>
              <w:pStyle w:val="43"/>
            </w:pPr>
            <w:r>
              <w:t>Deep sleep</w:t>
            </w:r>
          </w:p>
        </w:tc>
        <w:tc>
          <w:tcPr>
            <w:tcW w:w="0" w:type="auto"/>
            <w:gridSpan w:val="3"/>
            <w:vAlign w:val="center"/>
          </w:tcPr>
          <w:p>
            <w:pPr>
              <w:pStyle w:val="43"/>
            </w:pPr>
            <w:r>
              <w:t>1</w:t>
            </w:r>
          </w:p>
        </w:tc>
        <w:tc>
          <w:tcPr>
            <w:tcW w:w="0" w:type="auto"/>
            <w:gridSpan w:val="3"/>
            <w:vAlign w:val="center"/>
          </w:tcPr>
          <w:p>
            <w:pPr>
              <w:pStyle w:val="43"/>
            </w:pPr>
            <w:r>
              <w:t>1</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jc w:val="center"/>
        </w:trPr>
        <w:tc>
          <w:tcPr>
            <w:tcW w:w="0" w:type="auto"/>
            <w:vAlign w:val="center"/>
          </w:tcPr>
          <w:p>
            <w:pPr>
              <w:pStyle w:val="43"/>
            </w:pPr>
            <w:r>
              <w:t>Light sleep</w:t>
            </w:r>
          </w:p>
        </w:tc>
        <w:tc>
          <w:tcPr>
            <w:tcW w:w="0" w:type="auto"/>
            <w:gridSpan w:val="3"/>
            <w:vAlign w:val="center"/>
          </w:tcPr>
          <w:p>
            <w:pPr>
              <w:pStyle w:val="43"/>
            </w:pPr>
            <w:r>
              <w:t>25</w:t>
            </w:r>
          </w:p>
        </w:tc>
        <w:tc>
          <w:tcPr>
            <w:tcW w:w="0" w:type="auto"/>
            <w:gridSpan w:val="3"/>
            <w:vAlign w:val="center"/>
          </w:tcPr>
          <w:p>
            <w:pPr>
              <w:pStyle w:val="43"/>
            </w:pPr>
            <w:r>
              <w:t>2.1</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jc w:val="center"/>
        </w:trPr>
        <w:tc>
          <w:tcPr>
            <w:tcW w:w="0" w:type="auto"/>
            <w:vAlign w:val="center"/>
          </w:tcPr>
          <w:p>
            <w:pPr>
              <w:pStyle w:val="43"/>
            </w:pPr>
            <w:r>
              <w:t>Micro sleep</w:t>
            </w:r>
          </w:p>
        </w:tc>
        <w:tc>
          <w:tcPr>
            <w:tcW w:w="0" w:type="auto"/>
            <w:vAlign w:val="center"/>
          </w:tcPr>
          <w:p>
            <w:pPr>
              <w:pStyle w:val="43"/>
            </w:pPr>
            <w:r>
              <w:t>55</w:t>
            </w:r>
          </w:p>
        </w:tc>
        <w:tc>
          <w:tcPr>
            <w:tcW w:w="0" w:type="auto"/>
            <w:vAlign w:val="center"/>
          </w:tcPr>
          <w:p>
            <w:pPr>
              <w:pStyle w:val="43"/>
            </w:pPr>
            <w:r>
              <w:t>50</w:t>
            </w:r>
          </w:p>
        </w:tc>
        <w:tc>
          <w:tcPr>
            <w:tcW w:w="0" w:type="auto"/>
            <w:vAlign w:val="center"/>
          </w:tcPr>
          <w:p>
            <w:pPr>
              <w:pStyle w:val="43"/>
            </w:pPr>
            <w:r>
              <w:t>38</w:t>
            </w:r>
          </w:p>
        </w:tc>
        <w:tc>
          <w:tcPr>
            <w:tcW w:w="0" w:type="auto"/>
            <w:vAlign w:val="center"/>
          </w:tcPr>
          <w:p>
            <w:pPr>
              <w:pStyle w:val="43"/>
            </w:pPr>
            <w:r>
              <w:t>5.5</w:t>
            </w:r>
          </w:p>
        </w:tc>
        <w:tc>
          <w:tcPr>
            <w:tcW w:w="0" w:type="auto"/>
            <w:vAlign w:val="center"/>
          </w:tcPr>
          <w:p>
            <w:pPr>
              <w:pStyle w:val="43"/>
            </w:pPr>
            <w:r>
              <w:t>5</w:t>
            </w:r>
          </w:p>
        </w:tc>
        <w:tc>
          <w:tcPr>
            <w:tcW w:w="0" w:type="auto"/>
            <w:vAlign w:val="center"/>
          </w:tcPr>
          <w:p>
            <w:pPr>
              <w:pStyle w:val="43"/>
            </w:pPr>
            <w:r>
              <w:rPr>
                <w:rFonts w:hint="eastAsia"/>
              </w:rPr>
              <w:t>3</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jc w:val="center"/>
        </w:trPr>
        <w:tc>
          <w:tcPr>
            <w:tcW w:w="0" w:type="auto"/>
            <w:vAlign w:val="center"/>
          </w:tcPr>
          <w:p>
            <w:pPr>
              <w:pStyle w:val="43"/>
            </w:pPr>
            <w:r>
              <w:t>Active DL</w:t>
            </w:r>
          </w:p>
        </w:tc>
        <w:tc>
          <w:tcPr>
            <w:tcW w:w="0" w:type="auto"/>
            <w:vAlign w:val="center"/>
          </w:tcPr>
          <w:p>
            <w:pPr>
              <w:pStyle w:val="43"/>
            </w:pPr>
            <w:r>
              <w:t>280</w:t>
            </w:r>
          </w:p>
        </w:tc>
        <w:tc>
          <w:tcPr>
            <w:tcW w:w="0" w:type="auto"/>
            <w:vAlign w:val="center"/>
          </w:tcPr>
          <w:p>
            <w:pPr>
              <w:pStyle w:val="43"/>
            </w:pPr>
            <w:r>
              <w:t>200</w:t>
            </w:r>
          </w:p>
        </w:tc>
        <w:tc>
          <w:tcPr>
            <w:tcW w:w="0" w:type="auto"/>
            <w:vAlign w:val="center"/>
          </w:tcPr>
          <w:p>
            <w:pPr>
              <w:pStyle w:val="43"/>
            </w:pPr>
            <w:r>
              <w:t>152</w:t>
            </w:r>
          </w:p>
        </w:tc>
        <w:tc>
          <w:tcPr>
            <w:tcW w:w="0" w:type="auto"/>
            <w:vAlign w:val="center"/>
          </w:tcPr>
          <w:p>
            <w:pPr>
              <w:pStyle w:val="43"/>
            </w:pPr>
            <w:r>
              <w:t>32</w:t>
            </w:r>
          </w:p>
        </w:tc>
        <w:tc>
          <w:tcPr>
            <w:tcW w:w="0" w:type="auto"/>
            <w:vAlign w:val="center"/>
          </w:tcPr>
          <w:p>
            <w:pPr>
              <w:pStyle w:val="43"/>
            </w:pPr>
            <w:r>
              <w:t>26</w:t>
            </w:r>
          </w:p>
        </w:tc>
        <w:tc>
          <w:tcPr>
            <w:tcW w:w="0" w:type="auto"/>
            <w:vAlign w:val="center"/>
          </w:tcPr>
          <w:p>
            <w:pPr>
              <w:pStyle w:val="43"/>
              <w:rPr>
                <w:strike/>
              </w:rPr>
            </w:pPr>
            <w:r>
              <w:t>17.6</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jc w:val="center"/>
        </w:trPr>
        <w:tc>
          <w:tcPr>
            <w:tcW w:w="0" w:type="auto"/>
            <w:vAlign w:val="center"/>
          </w:tcPr>
          <w:p>
            <w:pPr>
              <w:pStyle w:val="43"/>
            </w:pPr>
            <w:r>
              <w:t>Active UL</w:t>
            </w:r>
          </w:p>
        </w:tc>
        <w:tc>
          <w:tcPr>
            <w:tcW w:w="0" w:type="auto"/>
            <w:vAlign w:val="center"/>
          </w:tcPr>
          <w:p>
            <w:pPr>
              <w:pStyle w:val="43"/>
            </w:pPr>
            <w:r>
              <w:t>110</w:t>
            </w:r>
          </w:p>
        </w:tc>
        <w:tc>
          <w:tcPr>
            <w:tcW w:w="0" w:type="auto"/>
            <w:vAlign w:val="center"/>
          </w:tcPr>
          <w:p>
            <w:pPr>
              <w:pStyle w:val="43"/>
            </w:pPr>
            <w:r>
              <w:t>90</w:t>
            </w:r>
          </w:p>
        </w:tc>
        <w:tc>
          <w:tcPr>
            <w:tcW w:w="0" w:type="auto"/>
            <w:vAlign w:val="center"/>
          </w:tcPr>
          <w:p>
            <w:pPr>
              <w:pStyle w:val="43"/>
            </w:pPr>
            <w:r>
              <w:t>80</w:t>
            </w:r>
          </w:p>
        </w:tc>
        <w:tc>
          <w:tcPr>
            <w:tcW w:w="0" w:type="auto"/>
            <w:vAlign w:val="center"/>
          </w:tcPr>
          <w:p>
            <w:pPr>
              <w:pStyle w:val="43"/>
            </w:pPr>
            <w:r>
              <w:t>6.5</w:t>
            </w:r>
          </w:p>
        </w:tc>
        <w:tc>
          <w:tcPr>
            <w:tcW w:w="0" w:type="auto"/>
            <w:vAlign w:val="center"/>
          </w:tcPr>
          <w:p>
            <w:pPr>
              <w:pStyle w:val="43"/>
            </w:pPr>
            <w:r>
              <w:t>5.8</w:t>
            </w:r>
          </w:p>
        </w:tc>
        <w:tc>
          <w:tcPr>
            <w:tcW w:w="0" w:type="auto"/>
            <w:vAlign w:val="center"/>
          </w:tcPr>
          <w:p>
            <w:pPr>
              <w:pStyle w:val="43"/>
            </w:pPr>
            <w:r>
              <w:rPr>
                <w:rFonts w:hint="eastAsia"/>
              </w:rPr>
              <w:t>4</w:t>
            </w:r>
            <w:r>
              <w:t>.2</w:t>
            </w:r>
          </w:p>
        </w:tc>
      </w:tr>
    </w:tbl>
    <w:p>
      <w:pPr>
        <w:rPr>
          <w:rFonts w:hint="default"/>
          <w:lang w:val="en-US" w:eastAsia="zh-CN"/>
        </w:rPr>
      </w:pPr>
      <w:r>
        <w:rPr>
          <w:rFonts w:hint="default"/>
          <w:lang w:val="en-US" w:eastAsia="zh-CN"/>
        </w:rPr>
        <w:t>As shown in Figure.1(a), when only cell DTX is configured, gNB will keep reception, while the DL transmission of most signals/channels can be omitted during non active duration defined by cell DTX. So the power saving gain mainly comes from reducing active downlink transmission. This case is useful for low load scenarios, gNB can saving power for some downlink period transmission but keep detection of possible uplink scheduling request.</w:t>
      </w:r>
    </w:p>
    <w:p>
      <w:pPr>
        <w:rPr>
          <w:rFonts w:hint="default"/>
          <w:lang w:val="en-US" w:eastAsia="zh-CN"/>
        </w:rPr>
      </w:pPr>
      <w:r>
        <w:rPr>
          <w:rFonts w:hint="default"/>
          <w:lang w:val="en-US" w:eastAsia="zh-CN"/>
        </w:rPr>
        <w:t>When only cell DRX is configured, as shown in Figure.1(b), PDCCH scheduling for DL can happen all the time, and gNB also needs to keep the DL transmission such as periodic signals/channels. The power saving gain comes from non active time for gNB defined by cell DRX. This may be useful for use cases that most traffic for UEs are downlink. However, the channel status and HARQ feedback may be impacted, also the uplink SRS may also be impacted, as a result, the downlink transmission efficiency will decrease.</w:t>
      </w:r>
    </w:p>
    <w:p>
      <w:pPr>
        <w:rPr>
          <w:rFonts w:hint="default"/>
          <w:lang w:val="en-US" w:eastAsia="zh-CN"/>
        </w:rPr>
      </w:pPr>
      <w:r>
        <w:rPr>
          <w:rFonts w:hint="default"/>
          <w:lang w:val="en-US" w:eastAsia="zh-CN"/>
        </w:rPr>
        <w:t>When both DL and UL traffic is small, cell DTX and DRX can be configured simultaneously, in this case, the UE experience will not be impacted since both DL and UL have little traffic.</w:t>
      </w:r>
    </w:p>
    <w:p>
      <w:pPr>
        <w:rPr>
          <w:rFonts w:hint="default"/>
          <w:lang w:val="en-US" w:eastAsia="zh-CN"/>
        </w:rPr>
      </w:pPr>
      <w:r>
        <w:rPr>
          <w:rFonts w:hint="default"/>
          <w:lang w:val="en-US" w:eastAsia="zh-CN"/>
        </w:rPr>
        <w:t>Therefore, we think independent DTX and simultaneous DTX/DRX can be considered. Whether DRX can be configured independently can be further studied.</w:t>
      </w:r>
    </w:p>
    <w:p>
      <w:pPr>
        <w:jc w:val="center"/>
      </w:pPr>
      <w:r>
        <w:drawing>
          <wp:inline distT="0" distB="0" distL="114300" distR="114300">
            <wp:extent cx="3616325" cy="2959100"/>
            <wp:effectExtent l="0" t="0" r="3175" b="1270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3616325" cy="2959100"/>
                    </a:xfrm>
                    <a:prstGeom prst="rect">
                      <a:avLst/>
                    </a:prstGeom>
                    <a:noFill/>
                    <a:ln>
                      <a:noFill/>
                    </a:ln>
                  </pic:spPr>
                </pic:pic>
              </a:graphicData>
            </a:graphic>
          </wp:inline>
        </w:drawing>
      </w:r>
    </w:p>
    <w:p>
      <w:pPr>
        <w:jc w:val="center"/>
        <w:rPr>
          <w:rFonts w:hint="default"/>
          <w:lang w:val="en-US"/>
        </w:rPr>
      </w:pPr>
      <w:r>
        <w:rPr>
          <w:rFonts w:hint="default"/>
          <w:lang w:val="en-US"/>
        </w:rPr>
        <w:t>Figure.1 configuration of cell DTX/DRX</w:t>
      </w:r>
    </w:p>
    <w:p>
      <w:pPr>
        <w:numPr>
          <w:ilvl w:val="0"/>
          <w:numId w:val="0"/>
        </w:numPr>
        <w:ind w:leftChars="0"/>
        <w:rPr>
          <w:rFonts w:hint="default" w:ascii="Times New Roman" w:hAnsi="Times New Roman" w:cs="Times New Roman"/>
          <w:b/>
          <w:bCs/>
          <w:i/>
          <w:iCs/>
          <w:lang w:val="en-US" w:eastAsia="zh-CN"/>
        </w:rPr>
      </w:pPr>
      <w:r>
        <w:rPr>
          <w:rFonts w:hint="eastAsia" w:ascii="Times New Roman" w:hAnsi="Times New Roman" w:cs="Times New Roman"/>
          <w:b/>
          <w:bCs/>
          <w:i/>
          <w:iCs/>
          <w:lang w:val="en-US" w:eastAsia="zh-CN"/>
        </w:rPr>
        <w:t>P</w:t>
      </w:r>
      <w:r>
        <w:rPr>
          <w:rFonts w:hint="default" w:ascii="Times New Roman" w:hAnsi="Times New Roman" w:cs="Times New Roman"/>
          <w:b/>
          <w:bCs/>
          <w:i/>
          <w:iCs/>
          <w:lang w:val="en-US" w:eastAsia="zh-CN"/>
        </w:rPr>
        <w:t xml:space="preserve">roposal 1: Independent DTX </w:t>
      </w:r>
      <w:r>
        <w:rPr>
          <w:rFonts w:hint="default" w:cs="Times New Roman"/>
          <w:b/>
          <w:bCs/>
          <w:i/>
          <w:iCs/>
          <w:lang w:val="en-US" w:eastAsia="zh-CN"/>
        </w:rPr>
        <w:t xml:space="preserve">configuration </w:t>
      </w:r>
      <w:r>
        <w:rPr>
          <w:rFonts w:hint="default" w:ascii="Times New Roman" w:hAnsi="Times New Roman" w:cs="Times New Roman"/>
          <w:b/>
          <w:bCs/>
          <w:i/>
          <w:iCs/>
          <w:lang w:val="en-US" w:eastAsia="zh-CN"/>
        </w:rPr>
        <w:t xml:space="preserve">and simultaneous DTX/DRX configuration </w:t>
      </w:r>
      <w:r>
        <w:rPr>
          <w:rFonts w:hint="default" w:cs="Times New Roman"/>
          <w:b/>
          <w:bCs/>
          <w:i/>
          <w:iCs/>
          <w:lang w:val="en-US" w:eastAsia="zh-CN"/>
        </w:rPr>
        <w:t>are both</w:t>
      </w:r>
      <w:r>
        <w:rPr>
          <w:rFonts w:hint="default" w:ascii="Times New Roman" w:hAnsi="Times New Roman" w:cs="Times New Roman"/>
          <w:b/>
          <w:bCs/>
          <w:i/>
          <w:iCs/>
          <w:lang w:val="en-US" w:eastAsia="zh-CN"/>
        </w:rPr>
        <w:t xml:space="preserve"> supported, whether independent DRX configuration is supported can be further studied.</w:t>
      </w:r>
    </w:p>
    <w:p>
      <w:pPr>
        <w:numPr>
          <w:ilvl w:val="0"/>
          <w:numId w:val="8"/>
        </w:numPr>
        <w:ind w:left="420" w:leftChars="0" w:hanging="420" w:firstLineChars="0"/>
        <w:rPr>
          <w:rFonts w:hint="default"/>
          <w:lang w:val="en-US" w:eastAsia="zh-CN"/>
        </w:rPr>
      </w:pPr>
      <w:r>
        <w:rPr>
          <w:rFonts w:hint="default"/>
          <w:lang w:val="en-US" w:eastAsia="zh-CN"/>
        </w:rPr>
        <w:t>Definition of cell DTX/DRX parameters</w:t>
      </w:r>
    </w:p>
    <w:p>
      <w:pPr>
        <w:numPr>
          <w:ilvl w:val="0"/>
          <w:numId w:val="0"/>
        </w:numPr>
        <w:ind w:leftChars="0"/>
        <w:rPr>
          <w:rFonts w:hint="default"/>
          <w:lang w:val="en-US" w:eastAsia="zh-CN"/>
        </w:rPr>
      </w:pPr>
      <w:r>
        <w:rPr>
          <w:rFonts w:hint="default"/>
          <w:lang w:val="en-US" w:eastAsia="zh-CN"/>
        </w:rPr>
        <w:t>Similar to UE DRX, to maintain common understanding of active and non-active time for gNB and UE, DTX and DRX parameters need to be defined, such as periodicity, start offset, slot offset, on duration timer, inactivity timer.</w:t>
      </w:r>
    </w:p>
    <w:p>
      <w:pPr>
        <w:numPr>
          <w:ilvl w:val="0"/>
          <w:numId w:val="0"/>
        </w:numPr>
        <w:ind w:leftChars="0"/>
        <w:rPr>
          <w:rFonts w:hint="default"/>
          <w:lang w:val="en-US" w:eastAsia="zh-CN"/>
        </w:rPr>
      </w:pPr>
      <w:r>
        <w:rPr>
          <w:rFonts w:hint="default"/>
          <w:lang w:val="en-US" w:eastAsia="zh-CN"/>
        </w:rPr>
        <w:t xml:space="preserve">Whether DRX and DTX share the same parameters or use separate parameters when both are configured also needs to be discussed. Common parameters can align the active time of cell DTX and DRX, the power saving gain and user experience can be improved. </w:t>
      </w:r>
    </w:p>
    <w:p>
      <w:pPr>
        <w:numPr>
          <w:ilvl w:val="0"/>
          <w:numId w:val="0"/>
        </w:numPr>
        <w:ind w:leftChars="0"/>
        <w:rPr>
          <w:rFonts w:hint="default"/>
          <w:b/>
          <w:bCs/>
          <w:i/>
          <w:iCs/>
          <w:lang w:val="en-US" w:eastAsia="zh-CN"/>
        </w:rPr>
      </w:pPr>
      <w:r>
        <w:rPr>
          <w:rFonts w:hint="default"/>
          <w:b/>
          <w:bCs/>
          <w:i/>
          <w:iCs/>
          <w:lang w:val="en-US" w:eastAsia="zh-CN"/>
        </w:rPr>
        <w:t>Proposal 2: Parameters such as periodicity, start offset, slot offset, on duration timer, inactivity timer need to be defined for cell DTX/DRX.</w:t>
      </w:r>
    </w:p>
    <w:p>
      <w:pPr>
        <w:numPr>
          <w:ilvl w:val="0"/>
          <w:numId w:val="8"/>
        </w:numPr>
        <w:ind w:left="420" w:leftChars="0" w:hanging="420" w:firstLineChars="0"/>
        <w:rPr>
          <w:rFonts w:hint="default"/>
          <w:lang w:val="en-US" w:eastAsia="zh-CN"/>
        </w:rPr>
      </w:pPr>
      <w:r>
        <w:rPr>
          <w:rFonts w:hint="default"/>
          <w:lang w:val="en-US" w:eastAsia="zh-CN"/>
        </w:rPr>
        <w:t>gNB and UE behavior for active and non-active time</w:t>
      </w:r>
    </w:p>
    <w:p>
      <w:pPr>
        <w:spacing w:beforeLines="0" w:afterLines="0"/>
        <w:jc w:val="left"/>
        <w:rPr>
          <w:rFonts w:hint="default" w:eastAsia="Times New Roman"/>
          <w:sz w:val="20"/>
          <w:szCs w:val="24"/>
          <w:lang w:val="en-US"/>
        </w:rPr>
      </w:pPr>
      <w:r>
        <w:rPr>
          <w:rFonts w:hint="default"/>
          <w:lang w:val="en-US" w:eastAsia="zh-CN"/>
        </w:rPr>
        <w:t xml:space="preserve">During UE DRX non active time, UE does not monitor PDCCH scheduling scrambled by </w:t>
      </w:r>
      <w:r>
        <w:rPr>
          <w:rFonts w:hint="default" w:ascii="Times New Roman" w:hAnsi="Times New Roman" w:eastAsia="Times New Roman"/>
          <w:sz w:val="20"/>
          <w:szCs w:val="24"/>
        </w:rPr>
        <w:t>C-RNTI, CI-RNTI, CS-RNTI, INT-RNTI, SFI-RNTI, SP-CSI-RNTI, TPC-PUCCH-RNTI,TPC-PUSCH-RNTI, TPC-SRS-RNTI, and AI-RNTI</w:t>
      </w:r>
      <w:r>
        <w:rPr>
          <w:rFonts w:hint="default" w:eastAsia="Times New Roman"/>
          <w:sz w:val="20"/>
          <w:szCs w:val="24"/>
          <w:lang w:val="en-US"/>
        </w:rPr>
        <w:t xml:space="preserve"> as described in TS38.321. UE also does not </w:t>
      </w:r>
      <w:r>
        <w:rPr>
          <w:rFonts w:hint="default" w:ascii="Times New Roman" w:hAnsi="Times New Roman" w:eastAsia="Times New Roman"/>
          <w:sz w:val="20"/>
          <w:szCs w:val="24"/>
        </w:rPr>
        <w:t>transmit periodic SRS and semi-persistent SRS</w:t>
      </w:r>
      <w:r>
        <w:rPr>
          <w:rFonts w:hint="default" w:eastAsia="Times New Roman"/>
          <w:sz w:val="20"/>
          <w:szCs w:val="24"/>
          <w:lang w:val="en-US"/>
        </w:rPr>
        <w:t>, not report CSI. So for cell DTX and DRX, similar restriction for gNB transmission and reception should be defined.</w:t>
      </w:r>
    </w:p>
    <w:p>
      <w:pPr>
        <w:spacing w:beforeLines="0" w:afterLines="0"/>
        <w:jc w:val="left"/>
        <w:rPr>
          <w:rFonts w:hint="default" w:eastAsia="Times New Roman"/>
          <w:sz w:val="20"/>
          <w:szCs w:val="24"/>
          <w:lang w:val="en-US"/>
        </w:rPr>
      </w:pPr>
      <w:r>
        <w:rPr>
          <w:rFonts w:hint="default" w:eastAsia="Times New Roman"/>
          <w:sz w:val="20"/>
          <w:szCs w:val="24"/>
          <w:lang w:val="en-US"/>
        </w:rPr>
        <w:t>According to the WID, SSB transmission is not changed due to cell DTX/DRX. To our understanding, this is to reduce impact to idle/inactive UEs, similarly, SIB1 related PDCCH and PDSCH will also keep unchanged. And UE specific periodicity transmission can be omitted.</w:t>
      </w:r>
    </w:p>
    <w:p>
      <w:pPr>
        <w:spacing w:beforeLines="0" w:afterLines="0"/>
        <w:jc w:val="left"/>
        <w:rPr>
          <w:rFonts w:hint="default" w:eastAsia="Times New Roman"/>
          <w:sz w:val="20"/>
          <w:szCs w:val="24"/>
          <w:lang w:val="en-US"/>
        </w:rPr>
      </w:pPr>
      <w:r>
        <w:rPr>
          <w:rFonts w:hint="default" w:eastAsia="Times New Roman"/>
          <w:sz w:val="20"/>
          <w:szCs w:val="24"/>
          <w:lang w:val="en-US"/>
        </w:rPr>
        <w:t xml:space="preserve">Then for gNB DTX, gNB can stop transmission of </w:t>
      </w:r>
    </w:p>
    <w:p>
      <w:pPr>
        <w:numPr>
          <w:ilvl w:val="0"/>
          <w:numId w:val="9"/>
        </w:numPr>
        <w:tabs>
          <w:tab w:val="clear" w:pos="420"/>
        </w:tabs>
        <w:ind w:left="84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PDCCH scrambled by same kinds of RNTIs as UE DRX</w:t>
      </w:r>
    </w:p>
    <w:p>
      <w:pPr>
        <w:numPr>
          <w:ilvl w:val="0"/>
          <w:numId w:val="9"/>
        </w:numPr>
        <w:tabs>
          <w:tab w:val="clear" w:pos="420"/>
        </w:tabs>
        <w:ind w:left="840" w:leftChars="0" w:hanging="420" w:firstLineChars="0"/>
        <w:rPr>
          <w:rFonts w:hint="default" w:ascii="Times New Roman" w:hAnsi="Times New Roman" w:cs="Times New Roman"/>
          <w:lang w:val="en-US" w:eastAsia="zh-CN"/>
        </w:rPr>
      </w:pPr>
      <w:r>
        <w:t>periodic/semi-static CSI-RS</w:t>
      </w:r>
    </w:p>
    <w:p>
      <w:pPr>
        <w:numPr>
          <w:ilvl w:val="0"/>
          <w:numId w:val="9"/>
        </w:numPr>
        <w:tabs>
          <w:tab w:val="clear" w:pos="420"/>
        </w:tabs>
        <w:ind w:left="840" w:leftChars="0" w:hanging="420" w:firstLineChars="0"/>
        <w:rPr>
          <w:rFonts w:hint="default" w:ascii="Times New Roman" w:hAnsi="Times New Roman" w:cs="Times New Roman"/>
          <w:lang w:val="en-US" w:eastAsia="zh-CN"/>
        </w:rPr>
      </w:pPr>
      <w:r>
        <w:rPr>
          <w:rFonts w:hint="default"/>
          <w:lang w:val="en-US"/>
        </w:rPr>
        <w:t>SPS PDSCH</w:t>
      </w:r>
    </w:p>
    <w:p>
      <w:pPr>
        <w:numPr>
          <w:ilvl w:val="0"/>
          <w:numId w:val="9"/>
        </w:numPr>
        <w:tabs>
          <w:tab w:val="clear" w:pos="420"/>
        </w:tabs>
        <w:ind w:left="840" w:leftChars="0" w:hanging="420" w:firstLineChars="0"/>
        <w:rPr>
          <w:rFonts w:hint="default" w:ascii="Times New Roman" w:hAnsi="Times New Roman" w:cs="Times New Roman"/>
          <w:lang w:val="en-US" w:eastAsia="zh-CN"/>
        </w:rPr>
      </w:pPr>
      <w:r>
        <w:rPr>
          <w:rFonts w:hint="default"/>
          <w:lang w:val="en-US"/>
        </w:rPr>
        <w:t>PRS</w:t>
      </w:r>
    </w:p>
    <w:p>
      <w:pPr>
        <w:numPr>
          <w:ilvl w:val="0"/>
          <w:numId w:val="0"/>
        </w:numPr>
        <w:rPr>
          <w:rFonts w:hint="default" w:ascii="Times New Roman" w:hAnsi="Times New Roman" w:cs="Times New Roman"/>
          <w:lang w:val="en-US" w:eastAsia="zh-CN"/>
        </w:rPr>
      </w:pPr>
      <w:r>
        <w:rPr>
          <w:rFonts w:hint="default"/>
          <w:lang w:val="en-US"/>
        </w:rPr>
        <w:t xml:space="preserve">For gNB DRX, gNB can stop reception of </w:t>
      </w:r>
    </w:p>
    <w:p>
      <w:pPr>
        <w:numPr>
          <w:ilvl w:val="0"/>
          <w:numId w:val="9"/>
        </w:numPr>
        <w:tabs>
          <w:tab w:val="clear" w:pos="420"/>
        </w:tabs>
        <w:ind w:left="840" w:leftChars="0" w:hanging="420" w:firstLineChars="0"/>
        <w:rPr>
          <w:rFonts w:hint="default" w:ascii="Times New Roman" w:hAnsi="Times New Roman" w:cs="Times New Roman"/>
          <w:lang w:val="en-US" w:eastAsia="zh-CN"/>
        </w:rPr>
      </w:pPr>
      <w:r>
        <w:rPr>
          <w:rFonts w:hint="default"/>
          <w:lang w:val="en-US"/>
        </w:rPr>
        <w:t>SRS</w:t>
      </w:r>
    </w:p>
    <w:p>
      <w:pPr>
        <w:numPr>
          <w:ilvl w:val="0"/>
          <w:numId w:val="9"/>
        </w:numPr>
        <w:tabs>
          <w:tab w:val="clear" w:pos="420"/>
        </w:tabs>
        <w:ind w:left="840" w:leftChars="0" w:hanging="420" w:firstLineChars="0"/>
        <w:rPr>
          <w:rFonts w:hint="default" w:ascii="Times New Roman" w:hAnsi="Times New Roman" w:cs="Times New Roman"/>
          <w:lang w:val="en-US" w:eastAsia="zh-CN"/>
        </w:rPr>
      </w:pPr>
      <w:r>
        <w:rPr>
          <w:rFonts w:hint="default"/>
          <w:lang w:val="en-US"/>
        </w:rPr>
        <w:t>PUCCH carrying SR, CSI report or HARQ-ACK</w:t>
      </w:r>
    </w:p>
    <w:p>
      <w:pPr>
        <w:numPr>
          <w:ilvl w:val="0"/>
          <w:numId w:val="9"/>
        </w:numPr>
        <w:tabs>
          <w:tab w:val="clear" w:pos="420"/>
        </w:tabs>
        <w:ind w:left="840" w:leftChars="0" w:hanging="420" w:firstLineChars="0"/>
        <w:rPr>
          <w:rFonts w:hint="default" w:eastAsia="Times New Roman"/>
          <w:sz w:val="20"/>
          <w:szCs w:val="24"/>
          <w:lang w:val="en-US"/>
        </w:rPr>
      </w:pPr>
      <w:r>
        <w:rPr>
          <w:rFonts w:hint="default"/>
          <w:lang w:val="en-US"/>
        </w:rPr>
        <w:t xml:space="preserve">PUSCH </w:t>
      </w:r>
    </w:p>
    <w:p>
      <w:pPr>
        <w:numPr>
          <w:ilvl w:val="0"/>
          <w:numId w:val="0"/>
        </w:numPr>
        <w:spacing w:beforeLines="0" w:afterLines="0"/>
        <w:jc w:val="left"/>
        <w:rPr>
          <w:rFonts w:hint="default" w:eastAsia="Times New Roman"/>
          <w:sz w:val="20"/>
          <w:szCs w:val="24"/>
          <w:lang w:val="en-US"/>
        </w:rPr>
      </w:pPr>
      <w:r>
        <w:rPr>
          <w:rFonts w:hint="default" w:eastAsia="Times New Roman"/>
          <w:sz w:val="20"/>
          <w:szCs w:val="24"/>
          <w:lang w:val="en-US"/>
        </w:rPr>
        <w:t>When CSI-RS or SRS are not transmitted, the channel measurement will be affected, to avoid performance loss due to no CSI-RS or SRS, an alternative way can be increased periodicity for such reference signals.</w:t>
      </w:r>
    </w:p>
    <w:p>
      <w:pPr>
        <w:spacing w:beforeLines="0" w:afterLines="0"/>
        <w:jc w:val="left"/>
        <w:rPr>
          <w:rFonts w:hint="default" w:eastAsia="Times New Roman"/>
          <w:b/>
          <w:bCs/>
          <w:i/>
          <w:iCs/>
          <w:sz w:val="20"/>
          <w:szCs w:val="24"/>
          <w:lang w:val="en-US"/>
        </w:rPr>
      </w:pPr>
      <w:r>
        <w:rPr>
          <w:rFonts w:hint="default" w:eastAsia="Times New Roman"/>
          <w:b/>
          <w:bCs/>
          <w:i/>
          <w:iCs/>
          <w:sz w:val="20"/>
          <w:szCs w:val="24"/>
          <w:lang w:val="en-US"/>
        </w:rPr>
        <w:t xml:space="preserve">Proposal 3: For gNB DTX, gNB can stop transmission of </w:t>
      </w:r>
    </w:p>
    <w:p>
      <w:pPr>
        <w:numPr>
          <w:ilvl w:val="0"/>
          <w:numId w:val="9"/>
        </w:numPr>
        <w:tabs>
          <w:tab w:val="clear" w:pos="420"/>
        </w:tabs>
        <w:ind w:left="840" w:leftChars="0" w:hanging="420" w:firstLineChars="0"/>
        <w:rPr>
          <w:rFonts w:hint="default" w:ascii="Times New Roman" w:hAnsi="Times New Roman" w:cs="Times New Roman"/>
          <w:b/>
          <w:bCs/>
          <w:i/>
          <w:iCs/>
          <w:lang w:val="en-US" w:eastAsia="zh-CN"/>
        </w:rPr>
      </w:pPr>
      <w:r>
        <w:rPr>
          <w:rFonts w:hint="default" w:ascii="Times New Roman" w:hAnsi="Times New Roman" w:cs="Times New Roman"/>
          <w:b/>
          <w:bCs/>
          <w:i/>
          <w:iCs/>
          <w:lang w:val="en-US" w:eastAsia="zh-CN"/>
        </w:rPr>
        <w:t>PDCCH scrambled by same kinds of RNTIs as UE DRX</w:t>
      </w:r>
    </w:p>
    <w:p>
      <w:pPr>
        <w:numPr>
          <w:ilvl w:val="0"/>
          <w:numId w:val="9"/>
        </w:numPr>
        <w:tabs>
          <w:tab w:val="clear" w:pos="420"/>
        </w:tabs>
        <w:ind w:left="840" w:leftChars="0" w:hanging="420" w:firstLineChars="0"/>
        <w:rPr>
          <w:rFonts w:hint="default" w:ascii="Times New Roman" w:hAnsi="Times New Roman" w:cs="Times New Roman"/>
          <w:b/>
          <w:bCs/>
          <w:i/>
          <w:iCs/>
          <w:lang w:val="en-US" w:eastAsia="zh-CN"/>
        </w:rPr>
      </w:pPr>
      <w:r>
        <w:rPr>
          <w:b/>
          <w:bCs/>
          <w:i/>
          <w:iCs/>
        </w:rPr>
        <w:t>periodic/semi-static CSI-RS</w:t>
      </w:r>
    </w:p>
    <w:p>
      <w:pPr>
        <w:numPr>
          <w:ilvl w:val="0"/>
          <w:numId w:val="9"/>
        </w:numPr>
        <w:tabs>
          <w:tab w:val="clear" w:pos="420"/>
        </w:tabs>
        <w:ind w:left="840" w:leftChars="0" w:hanging="420" w:firstLineChars="0"/>
        <w:rPr>
          <w:rFonts w:hint="default" w:ascii="Times New Roman" w:hAnsi="Times New Roman" w:cs="Times New Roman"/>
          <w:b/>
          <w:bCs/>
          <w:i/>
          <w:iCs/>
          <w:lang w:val="en-US" w:eastAsia="zh-CN"/>
        </w:rPr>
      </w:pPr>
      <w:r>
        <w:rPr>
          <w:rFonts w:hint="default"/>
          <w:b/>
          <w:bCs/>
          <w:i/>
          <w:iCs/>
          <w:lang w:val="en-US"/>
        </w:rPr>
        <w:t>SPS PDSCH</w:t>
      </w:r>
    </w:p>
    <w:p>
      <w:pPr>
        <w:numPr>
          <w:ilvl w:val="0"/>
          <w:numId w:val="9"/>
        </w:numPr>
        <w:tabs>
          <w:tab w:val="clear" w:pos="420"/>
        </w:tabs>
        <w:ind w:left="840" w:leftChars="0" w:hanging="420" w:firstLineChars="0"/>
        <w:rPr>
          <w:rFonts w:hint="default" w:ascii="Times New Roman" w:hAnsi="Times New Roman" w:cs="Times New Roman"/>
          <w:b/>
          <w:bCs/>
          <w:i/>
          <w:iCs/>
          <w:lang w:val="en-US" w:eastAsia="zh-CN"/>
        </w:rPr>
      </w:pPr>
      <w:r>
        <w:rPr>
          <w:rFonts w:hint="default"/>
          <w:b/>
          <w:bCs/>
          <w:i/>
          <w:iCs/>
          <w:lang w:val="en-US"/>
        </w:rPr>
        <w:t>PRS</w:t>
      </w:r>
    </w:p>
    <w:p>
      <w:pPr>
        <w:numPr>
          <w:ilvl w:val="0"/>
          <w:numId w:val="0"/>
        </w:numPr>
        <w:rPr>
          <w:rFonts w:hint="default" w:ascii="Times New Roman" w:hAnsi="Times New Roman" w:cs="Times New Roman"/>
          <w:b/>
          <w:bCs/>
          <w:i/>
          <w:iCs/>
          <w:lang w:val="en-US" w:eastAsia="zh-CN"/>
        </w:rPr>
      </w:pPr>
      <w:r>
        <w:rPr>
          <w:rFonts w:hint="default" w:eastAsia="Times New Roman"/>
          <w:b/>
          <w:bCs/>
          <w:i/>
          <w:iCs/>
          <w:sz w:val="20"/>
          <w:szCs w:val="24"/>
          <w:lang w:val="en-US"/>
        </w:rPr>
        <w:t xml:space="preserve">Proposal 4: </w:t>
      </w:r>
      <w:r>
        <w:rPr>
          <w:rFonts w:hint="default"/>
          <w:b/>
          <w:bCs/>
          <w:i/>
          <w:iCs/>
          <w:lang w:val="en-US"/>
        </w:rPr>
        <w:t xml:space="preserve">For gNB DRX, gNB can stop reception of </w:t>
      </w:r>
    </w:p>
    <w:p>
      <w:pPr>
        <w:numPr>
          <w:ilvl w:val="0"/>
          <w:numId w:val="9"/>
        </w:numPr>
        <w:tabs>
          <w:tab w:val="clear" w:pos="420"/>
        </w:tabs>
        <w:ind w:left="840" w:leftChars="0" w:hanging="420" w:firstLineChars="0"/>
        <w:rPr>
          <w:rFonts w:hint="default" w:ascii="Times New Roman" w:hAnsi="Times New Roman" w:cs="Times New Roman"/>
          <w:b/>
          <w:bCs/>
          <w:i/>
          <w:iCs/>
          <w:lang w:val="en-US" w:eastAsia="zh-CN"/>
        </w:rPr>
      </w:pPr>
      <w:r>
        <w:rPr>
          <w:rFonts w:hint="default"/>
          <w:b/>
          <w:bCs/>
          <w:i/>
          <w:iCs/>
          <w:lang w:val="en-US"/>
        </w:rPr>
        <w:t>SRS</w:t>
      </w:r>
    </w:p>
    <w:p>
      <w:pPr>
        <w:numPr>
          <w:ilvl w:val="0"/>
          <w:numId w:val="9"/>
        </w:numPr>
        <w:tabs>
          <w:tab w:val="clear" w:pos="420"/>
        </w:tabs>
        <w:ind w:left="840" w:leftChars="0" w:hanging="420" w:firstLineChars="0"/>
        <w:rPr>
          <w:rFonts w:hint="default" w:ascii="Times New Roman" w:hAnsi="Times New Roman" w:cs="Times New Roman"/>
          <w:b/>
          <w:bCs/>
          <w:i/>
          <w:iCs/>
          <w:lang w:val="en-US" w:eastAsia="zh-CN"/>
        </w:rPr>
      </w:pPr>
      <w:r>
        <w:rPr>
          <w:rFonts w:hint="default"/>
          <w:b/>
          <w:bCs/>
          <w:i/>
          <w:iCs/>
          <w:lang w:val="en-US"/>
        </w:rPr>
        <w:t>PUCCH carrying SR, CSI report or HARQ-ACK</w:t>
      </w:r>
    </w:p>
    <w:p>
      <w:pPr>
        <w:numPr>
          <w:ilvl w:val="0"/>
          <w:numId w:val="9"/>
        </w:numPr>
        <w:tabs>
          <w:tab w:val="clear" w:pos="420"/>
        </w:tabs>
        <w:ind w:left="840" w:leftChars="0" w:hanging="420" w:firstLineChars="0"/>
        <w:rPr>
          <w:rFonts w:hint="default" w:ascii="Times New Roman" w:hAnsi="Times New Roman" w:cs="Times New Roman"/>
          <w:b/>
          <w:bCs/>
          <w:i/>
          <w:iCs/>
          <w:lang w:val="en-US" w:eastAsia="zh-CN"/>
        </w:rPr>
      </w:pPr>
      <w:r>
        <w:rPr>
          <w:rFonts w:hint="default" w:ascii="Times New Roman" w:hAnsi="Times New Roman" w:cs="Times New Roman"/>
          <w:b/>
          <w:bCs/>
          <w:i/>
          <w:iCs/>
          <w:lang w:val="en-US"/>
        </w:rPr>
        <w:t>PUSCH</w:t>
      </w:r>
    </w:p>
    <w:p>
      <w:pPr>
        <w:numPr>
          <w:ilvl w:val="0"/>
          <w:numId w:val="0"/>
        </w:numPr>
        <w:rPr>
          <w:rFonts w:hint="default" w:ascii="Times New Roman" w:hAnsi="Times New Roman" w:cs="Times New Roman"/>
          <w:b/>
          <w:bCs/>
          <w:i/>
          <w:iCs/>
          <w:lang w:val="en-US" w:eastAsia="zh-CN"/>
        </w:rPr>
      </w:pPr>
      <w:r>
        <w:rPr>
          <w:rFonts w:hint="default" w:eastAsia="Times New Roman"/>
          <w:b/>
          <w:bCs/>
          <w:i/>
          <w:iCs/>
          <w:sz w:val="20"/>
          <w:szCs w:val="24"/>
          <w:lang w:val="en-US"/>
        </w:rPr>
        <w:t xml:space="preserve">Proposal 5: </w:t>
      </w:r>
      <w:r>
        <w:rPr>
          <w:rFonts w:hint="default"/>
          <w:b/>
          <w:bCs/>
          <w:i/>
          <w:iCs/>
          <w:lang w:val="en-US"/>
        </w:rPr>
        <w:t>To reduce performance loss of no CSI-RS or SRS transmission during cell DTX/DRX, CSI-RS or SRS can be transmitted with a larger periodicity.</w:t>
      </w:r>
    </w:p>
    <w:p>
      <w:pPr>
        <w:numPr>
          <w:ilvl w:val="0"/>
          <w:numId w:val="0"/>
        </w:numPr>
        <w:rPr>
          <w:rFonts w:hint="default" w:ascii="Times New Roman" w:hAnsi="Times New Roman" w:cs="Times New Roman"/>
          <w:b/>
          <w:bCs/>
          <w:i/>
          <w:iCs/>
          <w:lang w:val="en-US" w:eastAsia="zh-CN"/>
        </w:rPr>
      </w:pPr>
    </w:p>
    <w:p>
      <w:pPr>
        <w:numPr>
          <w:ilvl w:val="0"/>
          <w:numId w:val="8"/>
        </w:numPr>
        <w:ind w:left="420" w:leftChars="0" w:hanging="420" w:firstLineChars="0"/>
        <w:rPr>
          <w:rFonts w:hint="default"/>
          <w:lang w:val="en-US" w:eastAsia="zh-CN"/>
        </w:rPr>
      </w:pPr>
      <w:r>
        <w:rPr>
          <w:rFonts w:hint="default"/>
          <w:lang w:val="en-US" w:eastAsia="zh-CN"/>
        </w:rPr>
        <w:t>How to indicate the cell DTX/DRX</w:t>
      </w:r>
    </w:p>
    <w:p>
      <w:pPr>
        <w:numPr>
          <w:ilvl w:val="0"/>
          <w:numId w:val="0"/>
        </w:numPr>
        <w:ind w:leftChars="0"/>
        <w:rPr>
          <w:rFonts w:hint="default"/>
          <w:lang w:val="en-US" w:eastAsia="zh-CN"/>
        </w:rPr>
      </w:pPr>
      <w:r>
        <w:rPr>
          <w:rFonts w:hint="default"/>
          <w:lang w:val="en-US" w:eastAsia="zh-CN"/>
        </w:rPr>
        <w:t>The cell DTX/DRX parameters can be configured by RRC. And once they are configured, cell DTX/DRX start working, this means semi-static configuration method is used for cell DTX/DRX. However, semi-static way is not flexible enough for gNB power saving. For example, when gNB has finished the transmission of UE traffic, and expects no uplink and downlink transmission in the new future, if dynamic indication of cell DTX and DRX is supported, DTX and DRX can take effect immediately and gNB can enter a inactive state to save power. However, if dynamic indication is not supported, RRC reconfiguration is required, and gNB has to wait for more time to entering DTX or DRX. Therefore, we propose to support dynamic indication of cell DTX/DRX.</w:t>
      </w:r>
    </w:p>
    <w:p>
      <w:pPr>
        <w:numPr>
          <w:ilvl w:val="0"/>
          <w:numId w:val="0"/>
        </w:numPr>
        <w:rPr>
          <w:rFonts w:hint="default" w:ascii="Times New Roman" w:hAnsi="Times New Roman" w:eastAsia="Times New Roman" w:cs="Times New Roman"/>
          <w:b/>
          <w:bCs/>
          <w:i/>
          <w:iCs/>
          <w:sz w:val="20"/>
          <w:szCs w:val="24"/>
          <w:lang w:val="en-US" w:eastAsia="zh-CN"/>
        </w:rPr>
      </w:pPr>
      <w:r>
        <w:rPr>
          <w:rFonts w:hint="default" w:ascii="Times New Roman" w:hAnsi="Times New Roman" w:eastAsia="Times New Roman" w:cs="Times New Roman"/>
          <w:b/>
          <w:bCs/>
          <w:i/>
          <w:iCs/>
          <w:sz w:val="20"/>
          <w:szCs w:val="24"/>
          <w:lang w:val="en-US" w:eastAsia="zh-CN"/>
        </w:rPr>
        <w:t>Proposal 6: Dynamic indication of cell DTX/DRX is supported.</w:t>
      </w:r>
    </w:p>
    <w:p>
      <w:pPr>
        <w:numPr>
          <w:ilvl w:val="0"/>
          <w:numId w:val="8"/>
        </w:numPr>
        <w:ind w:left="420" w:leftChars="0" w:hanging="420" w:firstLineChars="0"/>
        <w:rPr>
          <w:rFonts w:hint="default"/>
          <w:lang w:val="en-US" w:eastAsia="zh-CN"/>
        </w:rPr>
      </w:pPr>
      <w:r>
        <w:rPr>
          <w:rFonts w:hint="default"/>
          <w:lang w:val="en-US" w:eastAsia="zh-CN"/>
        </w:rPr>
        <w:t>Alignment cell DTX/DRX with UE DRX</w:t>
      </w:r>
    </w:p>
    <w:p>
      <w:pPr>
        <w:numPr>
          <w:ilvl w:val="0"/>
          <w:numId w:val="0"/>
        </w:numPr>
        <w:ind w:leftChars="0"/>
        <w:rPr>
          <w:rFonts w:hint="default"/>
          <w:lang w:val="en-US" w:eastAsia="zh-CN"/>
        </w:rPr>
      </w:pPr>
      <w:r>
        <w:rPr>
          <w:rFonts w:hint="default"/>
          <w:lang w:val="en-US" w:eastAsia="zh-CN"/>
        </w:rPr>
        <w:t>When both cell DTX/DRX and UE DRX are configured, if they are not aligned, the power saving gain or UE experience will reduced.</w:t>
      </w:r>
    </w:p>
    <w:p>
      <w:pPr>
        <w:numPr>
          <w:ilvl w:val="0"/>
          <w:numId w:val="0"/>
        </w:numPr>
        <w:ind w:leftChars="0"/>
        <w:rPr>
          <w:rFonts w:hint="default"/>
          <w:lang w:val="en-US" w:eastAsia="zh-CN"/>
        </w:rPr>
      </w:pPr>
      <w:r>
        <w:rPr>
          <w:rFonts w:hint="default"/>
          <w:lang w:val="en-US" w:eastAsia="zh-CN"/>
        </w:rPr>
        <w:t>For example, as shown in Figure.2, different UEs have different DRX cycles or same cycle but different start offsets, then these UEs will be scheduled distributively in time. When cell DTX/DRX are configured, active time of some UEs will falls out of active time of gNB, then such UEs will have no chance to be scheduled, unless a longer on duration timer of cell DTX/DRX is configured, then the power saving gain of cell DTX/DRX will be limited.</w:t>
      </w:r>
    </w:p>
    <w:p>
      <w:pPr>
        <w:numPr>
          <w:ilvl w:val="0"/>
          <w:numId w:val="0"/>
        </w:numPr>
        <w:ind w:leftChars="0"/>
        <w:jc w:val="center"/>
      </w:pPr>
      <w:r>
        <w:drawing>
          <wp:inline distT="0" distB="0" distL="114300" distR="114300">
            <wp:extent cx="4735830" cy="2358390"/>
            <wp:effectExtent l="0" t="0" r="762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4735830" cy="2358390"/>
                    </a:xfrm>
                    <a:prstGeom prst="rect">
                      <a:avLst/>
                    </a:prstGeom>
                    <a:noFill/>
                    <a:ln>
                      <a:noFill/>
                    </a:ln>
                  </pic:spPr>
                </pic:pic>
              </a:graphicData>
            </a:graphic>
          </wp:inline>
        </w:drawing>
      </w:r>
    </w:p>
    <w:p>
      <w:pPr>
        <w:numPr>
          <w:ilvl w:val="0"/>
          <w:numId w:val="0"/>
        </w:numPr>
        <w:ind w:leftChars="0"/>
        <w:jc w:val="center"/>
        <w:rPr>
          <w:rFonts w:hint="default"/>
          <w:lang w:val="en-US" w:eastAsia="zh-CN"/>
        </w:rPr>
      </w:pPr>
      <w:r>
        <w:rPr>
          <w:rFonts w:hint="default"/>
          <w:lang w:val="en-US"/>
        </w:rPr>
        <w:t>Figure.2 Unaligned UE DRX configurations and cell DTX/DRX</w:t>
      </w:r>
    </w:p>
    <w:p>
      <w:pPr>
        <w:numPr>
          <w:ilvl w:val="0"/>
          <w:numId w:val="0"/>
        </w:numPr>
        <w:ind w:leftChars="0"/>
        <w:rPr>
          <w:rFonts w:hint="default" w:eastAsia="Times New Roman"/>
          <w:i w:val="0"/>
          <w:iCs/>
          <w:sz w:val="20"/>
          <w:szCs w:val="24"/>
          <w:lang w:val="en-US"/>
        </w:rPr>
      </w:pPr>
      <w:r>
        <w:rPr>
          <w:rFonts w:hint="default"/>
          <w:lang w:val="en-US" w:eastAsia="zh-CN"/>
        </w:rPr>
        <w:t xml:space="preserve">To solve above problem, one alternative is to reconfigure the UE DRX parameters, such as </w:t>
      </w:r>
      <w:r>
        <w:rPr>
          <w:rFonts w:hint="default" w:ascii="Times New Roman" w:hAnsi="Times New Roman" w:eastAsia="Times New Roman"/>
          <w:i/>
          <w:sz w:val="20"/>
          <w:szCs w:val="24"/>
        </w:rPr>
        <w:t>drx-LongCycleStartOffset</w:t>
      </w:r>
      <w:r>
        <w:rPr>
          <w:rFonts w:hint="default" w:eastAsia="Times New Roman"/>
          <w:i w:val="0"/>
          <w:iCs/>
          <w:sz w:val="20"/>
          <w:szCs w:val="24"/>
          <w:lang w:val="en-US"/>
        </w:rPr>
        <w:t>, to align the cycle and start offset of UE DRX with cell DTX/DRX. However, this takes longer time for the RRC reconfiguration parameters to take effect. And once the traffic load increases, gNB has to reconfigure those parameters again to distribute UEs’ active time.</w:t>
      </w:r>
    </w:p>
    <w:p>
      <w:pPr>
        <w:numPr>
          <w:ilvl w:val="0"/>
          <w:numId w:val="0"/>
        </w:numPr>
        <w:ind w:leftChars="0"/>
        <w:rPr>
          <w:rFonts w:hint="default" w:eastAsia="Times New Roman"/>
          <w:i w:val="0"/>
          <w:iCs/>
          <w:sz w:val="20"/>
          <w:szCs w:val="24"/>
          <w:lang w:val="en-US" w:eastAsia="zh-CN"/>
        </w:rPr>
      </w:pPr>
      <w:r>
        <w:rPr>
          <w:rFonts w:hint="default" w:eastAsia="Times New Roman"/>
          <w:i w:val="0"/>
          <w:iCs/>
          <w:sz w:val="20"/>
          <w:szCs w:val="24"/>
          <w:lang w:val="en-US" w:eastAsia="zh-CN"/>
        </w:rPr>
        <w:t xml:space="preserve">Another alternative is to use dynamic signaling. The alignment of UE DRX can be done at the same time with indication of cell DTX/DRX. As shown in Figure.3, when gNB decides to start cell DTX/DRX, it sends a dynamic indication to inform UE about the activation of cell DTX/DRX, and along with the dynamic activation, all UEs will update the DRX parameters such as DRX cycle, </w:t>
      </w:r>
      <w:r>
        <w:rPr>
          <w:rFonts w:hint="default" w:eastAsia="Times New Roman"/>
          <w:i/>
          <w:iCs w:val="0"/>
          <w:sz w:val="20"/>
          <w:szCs w:val="24"/>
          <w:lang w:val="en-US" w:eastAsia="zh-CN"/>
        </w:rPr>
        <w:t>drx-startoffset, or drx-slotoffset</w:t>
      </w:r>
      <w:r>
        <w:rPr>
          <w:rFonts w:hint="default" w:eastAsia="Times New Roman"/>
          <w:i w:val="0"/>
          <w:iCs/>
          <w:sz w:val="20"/>
          <w:szCs w:val="24"/>
          <w:lang w:val="en-US" w:eastAsia="zh-CN"/>
        </w:rPr>
        <w:t xml:space="preserve"> to a common start offset, common DRX cycle, common slot offset value configured by the network, or the common parameters share same value with cell DTX/DRX. As shown in Figure 3, all UE use the same offset and cycle as cell DTX/DRX, and the on duration timer can share the same value or different values.</w:t>
      </w:r>
    </w:p>
    <w:p>
      <w:pPr>
        <w:numPr>
          <w:ilvl w:val="0"/>
          <w:numId w:val="0"/>
        </w:numPr>
        <w:ind w:leftChars="0"/>
        <w:rPr>
          <w:rFonts w:hint="default" w:eastAsia="Times New Roman"/>
          <w:i w:val="0"/>
          <w:iCs/>
          <w:sz w:val="20"/>
          <w:szCs w:val="24"/>
          <w:lang w:val="en-US" w:eastAsia="zh-CN"/>
        </w:rPr>
      </w:pPr>
      <w:r>
        <w:rPr>
          <w:rFonts w:hint="default" w:eastAsia="Times New Roman"/>
          <w:i w:val="0"/>
          <w:iCs/>
          <w:sz w:val="20"/>
          <w:szCs w:val="24"/>
          <w:lang w:val="en-US" w:eastAsia="zh-CN"/>
        </w:rPr>
        <w:t>By this dynamic way, gNB can turn on/off the cell DTX/DRX flexibly, and also align the active time of gNB and UEs, therefore, the power saving gain can be increased, and it can react to dynamic UE traffic varying. So we make the following proposals.</w:t>
      </w:r>
    </w:p>
    <w:p>
      <w:pPr>
        <w:numPr>
          <w:ilvl w:val="0"/>
          <w:numId w:val="0"/>
        </w:numPr>
        <w:ind w:leftChars="0"/>
        <w:rPr>
          <w:rFonts w:hint="default" w:eastAsia="Times New Roman"/>
          <w:b/>
          <w:bCs/>
          <w:i/>
          <w:iCs w:val="0"/>
          <w:sz w:val="20"/>
          <w:szCs w:val="24"/>
          <w:lang w:val="en-US" w:eastAsia="zh-CN"/>
        </w:rPr>
      </w:pPr>
      <w:r>
        <w:rPr>
          <w:rFonts w:hint="default" w:eastAsia="Times New Roman"/>
          <w:b/>
          <w:bCs/>
          <w:i/>
          <w:iCs w:val="0"/>
          <w:sz w:val="20"/>
          <w:szCs w:val="24"/>
          <w:lang w:val="en-US" w:eastAsia="zh-CN"/>
        </w:rPr>
        <w:t>Proposal 7: Alignment of cell DTX/DRX and UE DRX can be triggered dynamically.</w:t>
      </w:r>
    </w:p>
    <w:p>
      <w:pPr>
        <w:numPr>
          <w:ilvl w:val="0"/>
          <w:numId w:val="0"/>
        </w:numPr>
        <w:ind w:leftChars="0"/>
        <w:rPr>
          <w:rFonts w:hint="default" w:eastAsia="Times New Roman"/>
          <w:b/>
          <w:bCs/>
          <w:i/>
          <w:iCs w:val="0"/>
          <w:sz w:val="20"/>
          <w:szCs w:val="24"/>
          <w:lang w:val="en-US" w:eastAsia="zh-CN"/>
        </w:rPr>
      </w:pPr>
      <w:r>
        <w:rPr>
          <w:rFonts w:hint="default" w:eastAsia="Times New Roman"/>
          <w:b/>
          <w:bCs/>
          <w:i/>
          <w:iCs w:val="0"/>
          <w:sz w:val="20"/>
          <w:szCs w:val="24"/>
          <w:lang w:val="en-US" w:eastAsia="zh-CN"/>
        </w:rPr>
        <w:t>Proposal 8: Activation of cell DTX/DRX and alignment of cell DTX/DRX and UE DRX can share the same indication.</w:t>
      </w:r>
    </w:p>
    <w:p>
      <w:pPr>
        <w:numPr>
          <w:ilvl w:val="0"/>
          <w:numId w:val="0"/>
        </w:numPr>
        <w:ind w:leftChars="0"/>
        <w:rPr>
          <w:rFonts w:hint="default" w:eastAsia="Times New Roman"/>
          <w:i w:val="0"/>
          <w:iCs/>
          <w:sz w:val="20"/>
          <w:szCs w:val="24"/>
          <w:lang w:val="en-US" w:eastAsia="zh-CN"/>
        </w:rPr>
      </w:pPr>
    </w:p>
    <w:p>
      <w:pPr>
        <w:numPr>
          <w:ilvl w:val="0"/>
          <w:numId w:val="0"/>
        </w:numPr>
        <w:ind w:leftChars="0"/>
        <w:jc w:val="center"/>
      </w:pPr>
      <w:r>
        <w:drawing>
          <wp:inline distT="0" distB="0" distL="114300" distR="114300">
            <wp:extent cx="4956810" cy="2843530"/>
            <wp:effectExtent l="0" t="0" r="15240" b="139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4"/>
                    <a:stretch>
                      <a:fillRect/>
                    </a:stretch>
                  </pic:blipFill>
                  <pic:spPr>
                    <a:xfrm>
                      <a:off x="0" y="0"/>
                      <a:ext cx="4956810" cy="2843530"/>
                    </a:xfrm>
                    <a:prstGeom prst="rect">
                      <a:avLst/>
                    </a:prstGeom>
                    <a:noFill/>
                    <a:ln>
                      <a:noFill/>
                    </a:ln>
                  </pic:spPr>
                </pic:pic>
              </a:graphicData>
            </a:graphic>
          </wp:inline>
        </w:drawing>
      </w:r>
    </w:p>
    <w:p>
      <w:pPr>
        <w:numPr>
          <w:ilvl w:val="0"/>
          <w:numId w:val="0"/>
        </w:numPr>
        <w:ind w:leftChars="0"/>
        <w:jc w:val="center"/>
        <w:rPr>
          <w:rFonts w:hint="default"/>
          <w:lang w:val="en-US" w:eastAsia="zh-CN"/>
        </w:rPr>
      </w:pPr>
      <w:r>
        <w:rPr>
          <w:rFonts w:hint="default"/>
          <w:lang w:val="en-US"/>
        </w:rPr>
        <w:t>Figure.3 Dynamic alignment of UE DRX with cell DTX/DRX</w:t>
      </w:r>
    </w:p>
    <w:p>
      <w:pPr>
        <w:spacing w:before="0" w:beforeLines="0"/>
        <w:ind w:left="720"/>
        <w:jc w:val="both"/>
        <w:rPr>
          <w:b/>
          <w:bCs/>
          <w:i/>
          <w:iCs/>
          <w:sz w:val="21"/>
          <w:szCs w:val="21"/>
        </w:rPr>
      </w:pPr>
    </w:p>
    <w:p>
      <w:pPr>
        <w:snapToGrid w:val="0"/>
        <w:spacing w:before="120"/>
        <w:jc w:val="both"/>
        <w:outlineLvl w:val="0"/>
        <w:rPr>
          <w:rFonts w:ascii="Arial" w:hAnsi="Arial" w:cs="Arial"/>
          <w:b/>
          <w:sz w:val="24"/>
          <w:szCs w:val="24"/>
        </w:rPr>
      </w:pPr>
      <w:r>
        <w:rPr>
          <w:rFonts w:hint="default" w:ascii="Arial" w:hAnsi="Arial" w:cs="Arial"/>
          <w:b/>
          <w:sz w:val="24"/>
          <w:szCs w:val="24"/>
          <w:lang w:val="en-US"/>
        </w:rPr>
        <w:t>3</w:t>
      </w:r>
      <w:r>
        <w:rPr>
          <w:rFonts w:ascii="Arial" w:hAnsi="Arial" w:cs="Arial"/>
          <w:b/>
          <w:sz w:val="24"/>
          <w:szCs w:val="24"/>
        </w:rPr>
        <w:t>. Conclusion</w:t>
      </w:r>
    </w:p>
    <w:p>
      <w:pPr>
        <w:widowControl w:val="0"/>
        <w:snapToGrid w:val="0"/>
        <w:spacing w:before="120" w:line="300" w:lineRule="auto"/>
        <w:jc w:val="both"/>
        <w:rPr>
          <w:rFonts w:hint="eastAsia" w:eastAsia="Malgun Gothic"/>
          <w:kern w:val="2"/>
          <w:sz w:val="21"/>
          <w:szCs w:val="22"/>
          <w:lang w:val="en-US" w:eastAsia="ko-KR"/>
        </w:rPr>
      </w:pPr>
      <w:r>
        <w:rPr>
          <w:rFonts w:hint="default" w:eastAsia="Times New Roman"/>
          <w:kern w:val="2"/>
          <w:sz w:val="21"/>
          <w:szCs w:val="22"/>
          <w:lang w:val="en-US" w:eastAsia="ko-KR"/>
        </w:rPr>
        <w:t xml:space="preserve">In this contribution, we discuss the issues related to cell DTX/DRX, and </w:t>
      </w:r>
      <w:r>
        <w:rPr>
          <w:rFonts w:eastAsia="Times New Roman"/>
          <w:kern w:val="2"/>
          <w:sz w:val="21"/>
          <w:szCs w:val="22"/>
          <w:lang w:val="en-US" w:eastAsia="ko-KR"/>
        </w:rPr>
        <w:t xml:space="preserve">the </w:t>
      </w:r>
      <w:r>
        <w:rPr>
          <w:rFonts w:hint="default" w:eastAsia="Times New Roman"/>
          <w:kern w:val="2"/>
          <w:sz w:val="21"/>
          <w:szCs w:val="22"/>
          <w:lang w:val="en-US" w:eastAsia="ko-KR"/>
        </w:rPr>
        <w:t>following</w:t>
      </w:r>
      <w:r>
        <w:rPr>
          <w:rFonts w:eastAsia="Times New Roman"/>
          <w:kern w:val="2"/>
          <w:sz w:val="21"/>
          <w:szCs w:val="22"/>
          <w:lang w:val="en-US" w:eastAsia="ko-KR"/>
        </w:rPr>
        <w:t xml:space="preserve"> proposals are </w:t>
      </w:r>
      <w:r>
        <w:rPr>
          <w:rFonts w:hint="default" w:eastAsia="Times New Roman"/>
          <w:kern w:val="2"/>
          <w:sz w:val="21"/>
          <w:szCs w:val="22"/>
          <w:lang w:val="en-US" w:eastAsia="ko-KR"/>
        </w:rPr>
        <w:t>made</w:t>
      </w:r>
      <w:r>
        <w:rPr>
          <w:rFonts w:eastAsia="Times New Roman"/>
          <w:kern w:val="2"/>
          <w:sz w:val="21"/>
          <w:szCs w:val="22"/>
          <w:lang w:val="en-US" w:eastAsia="ko-KR"/>
        </w:rPr>
        <w:t>:</w:t>
      </w:r>
    </w:p>
    <w:p>
      <w:pPr>
        <w:numPr>
          <w:ilvl w:val="0"/>
          <w:numId w:val="0"/>
        </w:numPr>
        <w:ind w:leftChars="0"/>
        <w:rPr>
          <w:rFonts w:hint="default" w:ascii="Times New Roman" w:hAnsi="Times New Roman" w:cs="Times New Roman"/>
          <w:b/>
          <w:bCs/>
          <w:i/>
          <w:iCs/>
          <w:lang w:val="en-US" w:eastAsia="zh-CN"/>
        </w:rPr>
      </w:pPr>
      <w:r>
        <w:rPr>
          <w:rFonts w:hint="eastAsia" w:ascii="Times New Roman" w:hAnsi="Times New Roman" w:cs="Times New Roman"/>
          <w:b/>
          <w:bCs/>
          <w:i/>
          <w:iCs/>
          <w:lang w:val="en-US" w:eastAsia="zh-CN"/>
        </w:rPr>
        <w:t>P</w:t>
      </w:r>
      <w:r>
        <w:rPr>
          <w:rFonts w:hint="default" w:ascii="Times New Roman" w:hAnsi="Times New Roman" w:cs="Times New Roman"/>
          <w:b/>
          <w:bCs/>
          <w:i/>
          <w:iCs/>
          <w:lang w:val="en-US" w:eastAsia="zh-CN"/>
        </w:rPr>
        <w:t xml:space="preserve">roposal 1: Independent DTX </w:t>
      </w:r>
      <w:r>
        <w:rPr>
          <w:rFonts w:hint="default" w:cs="Times New Roman"/>
          <w:b/>
          <w:bCs/>
          <w:i/>
          <w:iCs/>
          <w:lang w:val="en-US" w:eastAsia="zh-CN"/>
        </w:rPr>
        <w:t xml:space="preserve">configuration </w:t>
      </w:r>
      <w:r>
        <w:rPr>
          <w:rFonts w:hint="default" w:ascii="Times New Roman" w:hAnsi="Times New Roman" w:cs="Times New Roman"/>
          <w:b/>
          <w:bCs/>
          <w:i/>
          <w:iCs/>
          <w:lang w:val="en-US" w:eastAsia="zh-CN"/>
        </w:rPr>
        <w:t xml:space="preserve">and simultaneous DTX/DRX configuration </w:t>
      </w:r>
      <w:r>
        <w:rPr>
          <w:rFonts w:hint="default" w:cs="Times New Roman"/>
          <w:b/>
          <w:bCs/>
          <w:i/>
          <w:iCs/>
          <w:lang w:val="en-US" w:eastAsia="zh-CN"/>
        </w:rPr>
        <w:t>are both</w:t>
      </w:r>
      <w:r>
        <w:rPr>
          <w:rFonts w:hint="default" w:ascii="Times New Roman" w:hAnsi="Times New Roman" w:cs="Times New Roman"/>
          <w:b/>
          <w:bCs/>
          <w:i/>
          <w:iCs/>
          <w:lang w:val="en-US" w:eastAsia="zh-CN"/>
        </w:rPr>
        <w:t xml:space="preserve"> supported, whether independent DRX configuration is supported can be further studied.</w:t>
      </w:r>
    </w:p>
    <w:p>
      <w:pPr>
        <w:numPr>
          <w:ilvl w:val="0"/>
          <w:numId w:val="0"/>
        </w:numPr>
        <w:ind w:leftChars="0"/>
        <w:rPr>
          <w:rFonts w:hint="default"/>
          <w:b/>
          <w:bCs/>
          <w:i/>
          <w:iCs/>
          <w:lang w:val="en-US" w:eastAsia="zh-CN"/>
        </w:rPr>
      </w:pPr>
      <w:r>
        <w:rPr>
          <w:rFonts w:hint="default"/>
          <w:b/>
          <w:bCs/>
          <w:i/>
          <w:iCs/>
          <w:lang w:val="en-US" w:eastAsia="zh-CN"/>
        </w:rPr>
        <w:t>Proposal 2: Parameters such as periodicity, start offset, slot offset, on duration timer, inactivity timer need to be defined for cell DTX/DRX.</w:t>
      </w:r>
    </w:p>
    <w:p>
      <w:pPr>
        <w:spacing w:beforeLines="0" w:afterLines="0"/>
        <w:jc w:val="left"/>
        <w:rPr>
          <w:rFonts w:hint="default" w:eastAsia="Times New Roman"/>
          <w:b/>
          <w:bCs/>
          <w:i/>
          <w:iCs/>
          <w:sz w:val="20"/>
          <w:szCs w:val="24"/>
          <w:lang w:val="en-US"/>
        </w:rPr>
      </w:pPr>
      <w:r>
        <w:rPr>
          <w:rFonts w:hint="default" w:eastAsia="Times New Roman"/>
          <w:b/>
          <w:bCs/>
          <w:i/>
          <w:iCs/>
          <w:sz w:val="20"/>
          <w:szCs w:val="24"/>
          <w:lang w:val="en-US"/>
        </w:rPr>
        <w:t xml:space="preserve">Proposal 3: For gNB DTX, gNB can stop transmission of </w:t>
      </w:r>
    </w:p>
    <w:p>
      <w:pPr>
        <w:numPr>
          <w:ilvl w:val="0"/>
          <w:numId w:val="9"/>
        </w:numPr>
        <w:tabs>
          <w:tab w:val="clear" w:pos="420"/>
        </w:tabs>
        <w:ind w:left="840" w:leftChars="0" w:hanging="420" w:firstLineChars="0"/>
        <w:rPr>
          <w:rFonts w:hint="default" w:ascii="Times New Roman" w:hAnsi="Times New Roman" w:cs="Times New Roman"/>
          <w:b/>
          <w:bCs/>
          <w:i/>
          <w:iCs/>
          <w:lang w:val="en-US" w:eastAsia="zh-CN"/>
        </w:rPr>
      </w:pPr>
      <w:r>
        <w:rPr>
          <w:rFonts w:hint="default" w:ascii="Times New Roman" w:hAnsi="Times New Roman" w:cs="Times New Roman"/>
          <w:b/>
          <w:bCs/>
          <w:i/>
          <w:iCs/>
          <w:lang w:val="en-US" w:eastAsia="zh-CN"/>
        </w:rPr>
        <w:t>PDCCH scrambled by same kinds of RNTIs as UE DRX</w:t>
      </w:r>
    </w:p>
    <w:p>
      <w:pPr>
        <w:numPr>
          <w:ilvl w:val="0"/>
          <w:numId w:val="9"/>
        </w:numPr>
        <w:tabs>
          <w:tab w:val="clear" w:pos="420"/>
        </w:tabs>
        <w:ind w:left="840" w:leftChars="0" w:hanging="420" w:firstLineChars="0"/>
        <w:rPr>
          <w:rFonts w:hint="default" w:ascii="Times New Roman" w:hAnsi="Times New Roman" w:cs="Times New Roman"/>
          <w:b/>
          <w:bCs/>
          <w:i/>
          <w:iCs/>
          <w:lang w:val="en-US" w:eastAsia="zh-CN"/>
        </w:rPr>
      </w:pPr>
      <w:r>
        <w:rPr>
          <w:b/>
          <w:bCs/>
          <w:i/>
          <w:iCs/>
        </w:rPr>
        <w:t>periodic/semi-static CSI-RS</w:t>
      </w:r>
    </w:p>
    <w:p>
      <w:pPr>
        <w:numPr>
          <w:ilvl w:val="0"/>
          <w:numId w:val="9"/>
        </w:numPr>
        <w:tabs>
          <w:tab w:val="clear" w:pos="420"/>
        </w:tabs>
        <w:ind w:left="840" w:leftChars="0" w:hanging="420" w:firstLineChars="0"/>
        <w:rPr>
          <w:rFonts w:hint="default" w:ascii="Times New Roman" w:hAnsi="Times New Roman" w:cs="Times New Roman"/>
          <w:b/>
          <w:bCs/>
          <w:i/>
          <w:iCs/>
          <w:lang w:val="en-US" w:eastAsia="zh-CN"/>
        </w:rPr>
      </w:pPr>
      <w:r>
        <w:rPr>
          <w:rFonts w:hint="default"/>
          <w:b/>
          <w:bCs/>
          <w:i/>
          <w:iCs/>
          <w:lang w:val="en-US"/>
        </w:rPr>
        <w:t>SPS PDSCH</w:t>
      </w:r>
    </w:p>
    <w:p>
      <w:pPr>
        <w:numPr>
          <w:ilvl w:val="0"/>
          <w:numId w:val="9"/>
        </w:numPr>
        <w:tabs>
          <w:tab w:val="clear" w:pos="420"/>
        </w:tabs>
        <w:ind w:left="840" w:leftChars="0" w:hanging="420" w:firstLineChars="0"/>
        <w:rPr>
          <w:rFonts w:hint="default" w:ascii="Times New Roman" w:hAnsi="Times New Roman" w:cs="Times New Roman"/>
          <w:b/>
          <w:bCs/>
          <w:i/>
          <w:iCs/>
          <w:lang w:val="en-US" w:eastAsia="zh-CN"/>
        </w:rPr>
      </w:pPr>
      <w:r>
        <w:rPr>
          <w:rFonts w:hint="default"/>
          <w:b/>
          <w:bCs/>
          <w:i/>
          <w:iCs/>
          <w:lang w:val="en-US"/>
        </w:rPr>
        <w:t>PRS</w:t>
      </w:r>
    </w:p>
    <w:p>
      <w:pPr>
        <w:numPr>
          <w:ilvl w:val="0"/>
          <w:numId w:val="0"/>
        </w:numPr>
        <w:rPr>
          <w:rFonts w:hint="default" w:ascii="Times New Roman" w:hAnsi="Times New Roman" w:cs="Times New Roman"/>
          <w:b/>
          <w:bCs/>
          <w:i/>
          <w:iCs/>
          <w:lang w:val="en-US" w:eastAsia="zh-CN"/>
        </w:rPr>
      </w:pPr>
      <w:r>
        <w:rPr>
          <w:rFonts w:hint="default" w:eastAsia="Times New Roman"/>
          <w:b/>
          <w:bCs/>
          <w:i/>
          <w:iCs/>
          <w:sz w:val="20"/>
          <w:szCs w:val="24"/>
          <w:lang w:val="en-US"/>
        </w:rPr>
        <w:t xml:space="preserve">Proposal 4: </w:t>
      </w:r>
      <w:r>
        <w:rPr>
          <w:rFonts w:hint="default"/>
          <w:b/>
          <w:bCs/>
          <w:i/>
          <w:iCs/>
          <w:lang w:val="en-US"/>
        </w:rPr>
        <w:t xml:space="preserve">For gNB DRX, gNB can stop reception of </w:t>
      </w:r>
    </w:p>
    <w:p>
      <w:pPr>
        <w:numPr>
          <w:ilvl w:val="0"/>
          <w:numId w:val="9"/>
        </w:numPr>
        <w:tabs>
          <w:tab w:val="clear" w:pos="420"/>
        </w:tabs>
        <w:ind w:left="840" w:leftChars="0" w:hanging="420" w:firstLineChars="0"/>
        <w:rPr>
          <w:rFonts w:hint="default" w:ascii="Times New Roman" w:hAnsi="Times New Roman" w:cs="Times New Roman"/>
          <w:b/>
          <w:bCs/>
          <w:i/>
          <w:iCs/>
          <w:lang w:val="en-US" w:eastAsia="zh-CN"/>
        </w:rPr>
      </w:pPr>
      <w:r>
        <w:rPr>
          <w:rFonts w:hint="default"/>
          <w:b/>
          <w:bCs/>
          <w:i/>
          <w:iCs/>
          <w:lang w:val="en-US"/>
        </w:rPr>
        <w:t>SRS</w:t>
      </w:r>
    </w:p>
    <w:p>
      <w:pPr>
        <w:numPr>
          <w:ilvl w:val="0"/>
          <w:numId w:val="9"/>
        </w:numPr>
        <w:tabs>
          <w:tab w:val="clear" w:pos="420"/>
        </w:tabs>
        <w:ind w:left="840" w:leftChars="0" w:hanging="420" w:firstLineChars="0"/>
        <w:rPr>
          <w:rFonts w:hint="default" w:ascii="Times New Roman" w:hAnsi="Times New Roman" w:cs="Times New Roman"/>
          <w:b/>
          <w:bCs/>
          <w:i/>
          <w:iCs/>
          <w:lang w:val="en-US" w:eastAsia="zh-CN"/>
        </w:rPr>
      </w:pPr>
      <w:r>
        <w:rPr>
          <w:rFonts w:hint="default"/>
          <w:b/>
          <w:bCs/>
          <w:i/>
          <w:iCs/>
          <w:lang w:val="en-US"/>
        </w:rPr>
        <w:t>PUCCH carrying SR, CSI report or HARQ-ACK</w:t>
      </w:r>
    </w:p>
    <w:p>
      <w:pPr>
        <w:numPr>
          <w:ilvl w:val="0"/>
          <w:numId w:val="9"/>
        </w:numPr>
        <w:tabs>
          <w:tab w:val="clear" w:pos="420"/>
        </w:tabs>
        <w:ind w:left="840" w:leftChars="0" w:hanging="420" w:firstLineChars="0"/>
        <w:rPr>
          <w:rFonts w:hint="default" w:ascii="Times New Roman" w:hAnsi="Times New Roman" w:cs="Times New Roman"/>
          <w:b/>
          <w:bCs/>
          <w:i/>
          <w:iCs/>
          <w:lang w:val="en-US" w:eastAsia="zh-CN"/>
        </w:rPr>
      </w:pPr>
      <w:r>
        <w:rPr>
          <w:rFonts w:hint="default" w:ascii="Times New Roman" w:hAnsi="Times New Roman" w:cs="Times New Roman"/>
          <w:b/>
          <w:bCs/>
          <w:i/>
          <w:iCs/>
          <w:lang w:val="en-US"/>
        </w:rPr>
        <w:t>PUSCH</w:t>
      </w:r>
    </w:p>
    <w:p>
      <w:pPr>
        <w:numPr>
          <w:ilvl w:val="0"/>
          <w:numId w:val="0"/>
        </w:numPr>
        <w:rPr>
          <w:rFonts w:hint="default" w:ascii="Times New Roman" w:hAnsi="Times New Roman" w:cs="Times New Roman"/>
          <w:b/>
          <w:bCs/>
          <w:i/>
          <w:iCs/>
          <w:lang w:val="en-US" w:eastAsia="zh-CN"/>
        </w:rPr>
      </w:pPr>
      <w:r>
        <w:rPr>
          <w:rFonts w:hint="default" w:eastAsia="Times New Roman"/>
          <w:b/>
          <w:bCs/>
          <w:i/>
          <w:iCs/>
          <w:sz w:val="20"/>
          <w:szCs w:val="24"/>
          <w:lang w:val="en-US"/>
        </w:rPr>
        <w:t xml:space="preserve">Proposal 5: </w:t>
      </w:r>
      <w:r>
        <w:rPr>
          <w:rFonts w:hint="default"/>
          <w:b/>
          <w:bCs/>
          <w:i/>
          <w:iCs/>
          <w:lang w:val="en-US"/>
        </w:rPr>
        <w:t>To reduce performance loss of no CSI-RS or SRS transmission during cell DTX/DRX, CSI-RS or SRS can be transmitted with a larger periodicity.</w:t>
      </w:r>
    </w:p>
    <w:p>
      <w:pPr>
        <w:numPr>
          <w:ilvl w:val="0"/>
          <w:numId w:val="0"/>
        </w:numPr>
        <w:rPr>
          <w:rFonts w:ascii="Arial" w:hAnsi="Arial" w:cs="Arial"/>
          <w:b/>
        </w:rPr>
      </w:pPr>
      <w:r>
        <w:rPr>
          <w:rFonts w:hint="default" w:ascii="Times New Roman" w:hAnsi="Times New Roman" w:eastAsia="Times New Roman" w:cs="Times New Roman"/>
          <w:b/>
          <w:bCs/>
          <w:i/>
          <w:iCs/>
          <w:sz w:val="20"/>
          <w:szCs w:val="24"/>
          <w:lang w:val="en-US" w:eastAsia="zh-CN"/>
        </w:rPr>
        <w:t>Proposal 6: Dynamic indication of cell DTX/DRX is supported.</w:t>
      </w:r>
    </w:p>
    <w:p>
      <w:pPr>
        <w:numPr>
          <w:ilvl w:val="0"/>
          <w:numId w:val="0"/>
        </w:numPr>
        <w:ind w:leftChars="0"/>
        <w:rPr>
          <w:rFonts w:hint="default" w:eastAsia="Times New Roman"/>
          <w:b/>
          <w:bCs/>
          <w:i/>
          <w:iCs w:val="0"/>
          <w:sz w:val="20"/>
          <w:szCs w:val="24"/>
          <w:lang w:val="en-US" w:eastAsia="zh-CN"/>
        </w:rPr>
      </w:pPr>
      <w:r>
        <w:rPr>
          <w:rFonts w:hint="default" w:eastAsia="Times New Roman"/>
          <w:b/>
          <w:bCs/>
          <w:i/>
          <w:iCs w:val="0"/>
          <w:sz w:val="20"/>
          <w:szCs w:val="24"/>
          <w:lang w:val="en-US" w:eastAsia="zh-CN"/>
        </w:rPr>
        <w:t>Proposal 7: Alignment of cell DTX/DRX and UE DRX can be triggered dynamically.</w:t>
      </w:r>
    </w:p>
    <w:p>
      <w:pPr>
        <w:numPr>
          <w:ilvl w:val="0"/>
          <w:numId w:val="0"/>
        </w:numPr>
        <w:ind w:leftChars="0"/>
        <w:rPr>
          <w:rFonts w:hint="default" w:eastAsia="Times New Roman"/>
          <w:b/>
          <w:bCs/>
          <w:i/>
          <w:iCs w:val="0"/>
          <w:sz w:val="20"/>
          <w:szCs w:val="24"/>
          <w:lang w:val="en-US" w:eastAsia="zh-CN"/>
        </w:rPr>
      </w:pPr>
      <w:r>
        <w:rPr>
          <w:rFonts w:hint="default" w:eastAsia="Times New Roman"/>
          <w:b/>
          <w:bCs/>
          <w:i/>
          <w:iCs w:val="0"/>
          <w:sz w:val="20"/>
          <w:szCs w:val="24"/>
          <w:lang w:val="en-US" w:eastAsia="zh-CN"/>
        </w:rPr>
        <w:t>Proposal 8: Activation of cell DTX/DRX and alignment of cell DTX/DRX and UE DRX can share the same indication.</w:t>
      </w:r>
    </w:p>
    <w:p>
      <w:pPr>
        <w:snapToGrid w:val="0"/>
        <w:spacing w:before="120"/>
        <w:jc w:val="both"/>
        <w:rPr>
          <w:rFonts w:ascii="Arial" w:hAnsi="Arial" w:cs="Arial"/>
          <w:b/>
          <w:sz w:val="18"/>
          <w:szCs w:val="18"/>
        </w:rPr>
      </w:pPr>
      <w:bookmarkStart w:id="5" w:name="_GoBack"/>
      <w:bookmarkEnd w:id="5"/>
    </w:p>
    <w:p>
      <w:pPr>
        <w:snapToGrid w:val="0"/>
        <w:spacing w:before="120"/>
        <w:jc w:val="both"/>
        <w:outlineLvl w:val="0"/>
        <w:rPr>
          <w:rFonts w:ascii="Arial" w:hAnsi="Arial" w:cs="Arial"/>
          <w:b/>
          <w:sz w:val="24"/>
          <w:szCs w:val="24"/>
        </w:rPr>
      </w:pPr>
      <w:r>
        <w:rPr>
          <w:rFonts w:hint="default" w:ascii="Arial" w:hAnsi="Arial" w:cs="Arial"/>
          <w:b/>
          <w:sz w:val="24"/>
          <w:szCs w:val="24"/>
          <w:lang w:val="en-US"/>
        </w:rPr>
        <w:t>4</w:t>
      </w:r>
      <w:r>
        <w:rPr>
          <w:rFonts w:ascii="Arial" w:hAnsi="Arial" w:cs="Arial"/>
          <w:b/>
          <w:sz w:val="24"/>
          <w:szCs w:val="24"/>
        </w:rPr>
        <w:t>. References</w:t>
      </w:r>
    </w:p>
    <w:p>
      <w:pPr>
        <w:widowControl w:val="0"/>
        <w:numPr>
          <w:ilvl w:val="0"/>
          <w:numId w:val="10"/>
        </w:numPr>
        <w:snapToGrid w:val="0"/>
        <w:spacing w:before="120" w:line="300" w:lineRule="auto"/>
        <w:jc w:val="both"/>
        <w:rPr>
          <w:rFonts w:hint="eastAsia"/>
          <w:kern w:val="2"/>
          <w:sz w:val="21"/>
          <w:szCs w:val="21"/>
          <w:lang w:val="en-US" w:eastAsia="zh-CN"/>
        </w:rPr>
      </w:pPr>
      <w:r>
        <w:rPr>
          <w:rFonts w:hint="eastAsia"/>
          <w:kern w:val="2"/>
          <w:sz w:val="21"/>
          <w:szCs w:val="21"/>
          <w:lang w:val="en-US" w:eastAsia="zh-CN"/>
        </w:rPr>
        <w:t>RP-223540, New WID: Network energy savings for NR, 3GP</w:t>
      </w:r>
      <w:r>
        <w:rPr>
          <w:kern w:val="2"/>
          <w:sz w:val="21"/>
          <w:szCs w:val="21"/>
          <w:lang w:val="en-US" w:eastAsia="zh-CN"/>
        </w:rPr>
        <w:t>P RAN#9</w:t>
      </w:r>
      <w:r>
        <w:rPr>
          <w:rFonts w:hint="default"/>
          <w:kern w:val="2"/>
          <w:sz w:val="21"/>
          <w:szCs w:val="21"/>
          <w:lang w:val="en-US" w:eastAsia="zh-CN"/>
        </w:rPr>
        <w:t>8</w:t>
      </w:r>
      <w:r>
        <w:rPr>
          <w:kern w:val="2"/>
          <w:sz w:val="21"/>
          <w:szCs w:val="21"/>
          <w:lang w:val="en-US" w:eastAsia="zh-CN"/>
        </w:rPr>
        <w:t xml:space="preserve">, </w:t>
      </w:r>
      <w:r>
        <w:rPr>
          <w:rFonts w:hint="eastAsia"/>
          <w:kern w:val="2"/>
          <w:sz w:val="21"/>
          <w:szCs w:val="21"/>
          <w:lang w:val="en-US" w:eastAsia="zh-CN"/>
        </w:rPr>
        <w:t>Electronic Meeting, December 12-16, 2022</w:t>
      </w:r>
      <w:r>
        <w:rPr>
          <w:kern w:val="2"/>
          <w:sz w:val="21"/>
          <w:szCs w:val="21"/>
          <w:lang w:val="en-US" w:eastAsia="zh-CN"/>
        </w:rPr>
        <w:t>.</w:t>
      </w:r>
    </w:p>
    <w:sectPr>
      <w:headerReference r:id="rId7" w:type="first"/>
      <w:footerReference r:id="rId10" w:type="first"/>
      <w:headerReference r:id="rId5" w:type="default"/>
      <w:footerReference r:id="rId8" w:type="default"/>
      <w:headerReference r:id="rId6" w:type="even"/>
      <w:footerReference r:id="rId9" w:type="even"/>
      <w:pgSz w:w="11907" w:h="16840"/>
      <w:pgMar w:top="1021" w:right="1021" w:bottom="1021" w:left="1021"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宋体">
    <w:panose1 w:val="02010600030101010101"/>
    <w:charset w:val="86"/>
    <w:family w:val="auto"/>
    <w:pitch w:val="variable"/>
    <w:sig w:usb0="00000203" w:usb1="288F0000" w:usb2="00000006" w:usb3="00000000" w:csb0="0004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1"/>
    <w:family w:val="auto"/>
    <w:pitch w:val="variable"/>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BBB19C"/>
    <w:multiLevelType w:val="multilevel"/>
    <w:tmpl w:val="C6BBB19C"/>
    <w:lvl w:ilvl="0" w:tentative="0">
      <w:start w:val="1"/>
      <w:numFmt w:val="bullet"/>
      <w:lvlText w:val="•"/>
      <w:lvlJc w:val="left"/>
      <w:pPr>
        <w:ind w:left="420" w:leftChars="0" w:hanging="420" w:firstLineChars="0"/>
      </w:pPr>
      <w:rPr>
        <w:rFonts w:hint="default" w:ascii="Arial" w:hAnsi="Arial" w:cs="Arial"/>
      </w:rPr>
    </w:lvl>
    <w:lvl w:ilvl="1" w:tentative="0">
      <w:start w:val="1"/>
      <w:numFmt w:val="bullet"/>
      <w:lvlText w:val=""/>
      <w:lvlJc w:val="left"/>
      <w:pPr>
        <w:tabs>
          <w:tab w:val="left" w:pos="840"/>
        </w:tabs>
        <w:ind w:left="82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E8C4FF13"/>
    <w:multiLevelType w:val="singleLevel"/>
    <w:tmpl w:val="E8C4FF13"/>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2">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85C6F09"/>
    <w:multiLevelType w:val="multilevel"/>
    <w:tmpl w:val="085C6F09"/>
    <w:lvl w:ilvl="0" w:tentative="0">
      <w:start w:val="1"/>
      <w:numFmt w:val="decimal"/>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4">
    <w:nsid w:val="1B0A1344"/>
    <w:multiLevelType w:val="singleLevel"/>
    <w:tmpl w:val="1B0A1344"/>
    <w:lvl w:ilvl="0" w:tentative="0">
      <w:start w:val="1"/>
      <w:numFmt w:val="bullet"/>
      <w:pStyle w:val="35"/>
      <w:lvlText w:val=""/>
      <w:lvlJc w:val="left"/>
      <w:pPr>
        <w:tabs>
          <w:tab w:val="left" w:pos="0"/>
        </w:tabs>
        <w:ind w:left="1728" w:hanging="288"/>
      </w:pPr>
      <w:rPr>
        <w:rFonts w:hint="default" w:ascii="Monotype Sorts" w:hAnsi="Monotype Sorts"/>
      </w:rPr>
    </w:lvl>
  </w:abstractNum>
  <w:abstractNum w:abstractNumId="5">
    <w:nsid w:val="41CA2C26"/>
    <w:multiLevelType w:val="singleLevel"/>
    <w:tmpl w:val="41CA2C26"/>
    <w:lvl w:ilvl="0" w:tentative="0">
      <w:start w:val="1"/>
      <w:numFmt w:val="bullet"/>
      <w:pStyle w:val="33"/>
      <w:lvlText w:val=""/>
      <w:lvlJc w:val="left"/>
      <w:pPr>
        <w:tabs>
          <w:tab w:val="left" w:pos="360"/>
        </w:tabs>
        <w:ind w:left="360" w:hanging="360"/>
      </w:pPr>
      <w:rPr>
        <w:rFonts w:hint="default" w:ascii="Webdings" w:hAnsi="Webdings"/>
      </w:rPr>
    </w:lvl>
  </w:abstractNum>
  <w:abstractNum w:abstractNumId="6">
    <w:nsid w:val="549A69FD"/>
    <w:multiLevelType w:val="multilevel"/>
    <w:tmpl w:val="549A69FD"/>
    <w:lvl w:ilvl="0" w:tentative="0">
      <w:start w:val="5"/>
      <w:numFmt w:val="decimal"/>
      <w:pStyle w:val="34"/>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7">
    <w:nsid w:val="63690C9E"/>
    <w:multiLevelType w:val="singleLevel"/>
    <w:tmpl w:val="63690C9E"/>
    <w:lvl w:ilvl="0" w:tentative="0">
      <w:start w:val="1"/>
      <w:numFmt w:val="bullet"/>
      <w:pStyle w:val="32"/>
      <w:lvlText w:val=""/>
      <w:lvlJc w:val="left"/>
      <w:pPr>
        <w:tabs>
          <w:tab w:val="left" w:pos="360"/>
        </w:tabs>
        <w:ind w:left="360" w:hanging="360"/>
      </w:pPr>
      <w:rPr>
        <w:rFonts w:hint="default" w:ascii="Wingdings" w:hAnsi="Wingdings"/>
      </w:rPr>
    </w:lvl>
  </w:abstractNum>
  <w:abstractNum w:abstractNumId="8">
    <w:nsid w:val="6A1C03D5"/>
    <w:multiLevelType w:val="multilevel"/>
    <w:tmpl w:val="6A1C03D5"/>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6D0F203A"/>
    <w:multiLevelType w:val="multilevel"/>
    <w:tmpl w:val="6D0F203A"/>
    <w:lvl w:ilvl="0" w:tentative="0">
      <w:start w:val="1"/>
      <w:numFmt w:val="bullet"/>
      <w:lvlText w:val=""/>
      <w:lvlJc w:val="left"/>
      <w:pPr>
        <w:ind w:left="1040" w:hanging="420"/>
      </w:pPr>
      <w:rPr>
        <w:rFonts w:hint="default" w:ascii="Symbol" w:hAnsi="Symbol"/>
      </w:rPr>
    </w:lvl>
    <w:lvl w:ilvl="1" w:tentative="0">
      <w:start w:val="1"/>
      <w:numFmt w:val="bullet"/>
      <w:lvlText w:val=""/>
      <w:lvlJc w:val="left"/>
      <w:pPr>
        <w:ind w:left="1460" w:hanging="420"/>
      </w:pPr>
      <w:rPr>
        <w:rFonts w:hint="default" w:ascii="Wingdings" w:hAnsi="Wingdings"/>
      </w:rPr>
    </w:lvl>
    <w:lvl w:ilvl="2" w:tentative="0">
      <w:start w:val="1"/>
      <w:numFmt w:val="bullet"/>
      <w:lvlText w:val=""/>
      <w:lvlJc w:val="left"/>
      <w:pPr>
        <w:ind w:left="1880" w:hanging="420"/>
      </w:pPr>
      <w:rPr>
        <w:rFonts w:hint="default" w:ascii="Wingdings" w:hAnsi="Wingdings"/>
      </w:rPr>
    </w:lvl>
    <w:lvl w:ilvl="3" w:tentative="0">
      <w:start w:val="1"/>
      <w:numFmt w:val="bullet"/>
      <w:lvlText w:val=""/>
      <w:lvlJc w:val="left"/>
      <w:pPr>
        <w:ind w:left="2300" w:hanging="420"/>
      </w:pPr>
      <w:rPr>
        <w:rFonts w:hint="default" w:ascii="Wingdings" w:hAnsi="Wingdings"/>
      </w:rPr>
    </w:lvl>
    <w:lvl w:ilvl="4" w:tentative="0">
      <w:start w:val="1"/>
      <w:numFmt w:val="bullet"/>
      <w:lvlText w:val=""/>
      <w:lvlJc w:val="left"/>
      <w:pPr>
        <w:ind w:left="2720" w:hanging="420"/>
      </w:pPr>
      <w:rPr>
        <w:rFonts w:hint="default" w:ascii="Wingdings" w:hAnsi="Wingdings"/>
      </w:rPr>
    </w:lvl>
    <w:lvl w:ilvl="5" w:tentative="0">
      <w:start w:val="1"/>
      <w:numFmt w:val="bullet"/>
      <w:lvlText w:val=""/>
      <w:lvlJc w:val="left"/>
      <w:pPr>
        <w:ind w:left="3140" w:hanging="420"/>
      </w:pPr>
      <w:rPr>
        <w:rFonts w:hint="default" w:ascii="Wingdings" w:hAnsi="Wingdings"/>
      </w:rPr>
    </w:lvl>
    <w:lvl w:ilvl="6" w:tentative="0">
      <w:start w:val="1"/>
      <w:numFmt w:val="bullet"/>
      <w:lvlText w:val=""/>
      <w:lvlJc w:val="left"/>
      <w:pPr>
        <w:ind w:left="3560" w:hanging="420"/>
      </w:pPr>
      <w:rPr>
        <w:rFonts w:hint="default" w:ascii="Wingdings" w:hAnsi="Wingdings"/>
      </w:rPr>
    </w:lvl>
    <w:lvl w:ilvl="7" w:tentative="0">
      <w:start w:val="1"/>
      <w:numFmt w:val="bullet"/>
      <w:lvlText w:val=""/>
      <w:lvlJc w:val="left"/>
      <w:pPr>
        <w:ind w:left="3980" w:hanging="420"/>
      </w:pPr>
      <w:rPr>
        <w:rFonts w:hint="default" w:ascii="Wingdings" w:hAnsi="Wingdings"/>
      </w:rPr>
    </w:lvl>
    <w:lvl w:ilvl="8" w:tentative="0">
      <w:start w:val="1"/>
      <w:numFmt w:val="bullet"/>
      <w:lvlText w:val=""/>
      <w:lvlJc w:val="left"/>
      <w:pPr>
        <w:ind w:left="4400" w:hanging="420"/>
      </w:pPr>
      <w:rPr>
        <w:rFonts w:hint="default" w:ascii="Wingdings" w:hAnsi="Wingdings"/>
      </w:rPr>
    </w:lvl>
  </w:abstractNum>
  <w:num w:numId="1">
    <w:abstractNumId w:val="7"/>
  </w:num>
  <w:num w:numId="2">
    <w:abstractNumId w:val="5"/>
  </w:num>
  <w:num w:numId="3">
    <w:abstractNumId w:val="6"/>
  </w:num>
  <w:num w:numId="4">
    <w:abstractNumId w:val="4"/>
  </w:num>
  <w:num w:numId="5">
    <w:abstractNumId w:val="3"/>
  </w:num>
  <w:num w:numId="6">
    <w:abstractNumId w:val="8"/>
  </w:num>
  <w:num w:numId="7">
    <w:abstractNumId w:val="9"/>
  </w:num>
  <w:num w:numId="8">
    <w:abstractNumId w:val="0"/>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720"/>
  <w:displayHorizontalDrawingGridEvery w:val="0"/>
  <w:displayVerticalDrawingGridEvery w:val="2"/>
  <w:doNotUseMarginsForDrawingGridOrigin w:val="1"/>
  <w:drawingGridHorizontalOrigin w:val="1800"/>
  <w:drawingGridVerticalOrigin w:val="1440"/>
  <w:characterSpacingControl w:val="doNotCompress"/>
  <w:footnotePr>
    <w:footnote w:id="0"/>
    <w:footnote w:id="1"/>
  </w:footnotePr>
  <w:endnotePr>
    <w:endnote w:id="0"/>
    <w:endnote w:id="1"/>
  </w:end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02C2"/>
    <w:rsid w:val="00012484"/>
    <w:rsid w:val="0001542C"/>
    <w:rsid w:val="00015988"/>
    <w:rsid w:val="00015B32"/>
    <w:rsid w:val="000160B4"/>
    <w:rsid w:val="00017B1D"/>
    <w:rsid w:val="000212C4"/>
    <w:rsid w:val="00023444"/>
    <w:rsid w:val="000258AE"/>
    <w:rsid w:val="00027D8F"/>
    <w:rsid w:val="00035068"/>
    <w:rsid w:val="00035491"/>
    <w:rsid w:val="00035B6D"/>
    <w:rsid w:val="00036B2B"/>
    <w:rsid w:val="000424B5"/>
    <w:rsid w:val="00043867"/>
    <w:rsid w:val="000463C4"/>
    <w:rsid w:val="00050016"/>
    <w:rsid w:val="000546D6"/>
    <w:rsid w:val="0005513D"/>
    <w:rsid w:val="00055B78"/>
    <w:rsid w:val="00055E6E"/>
    <w:rsid w:val="00061EA1"/>
    <w:rsid w:val="000629C1"/>
    <w:rsid w:val="00064E1E"/>
    <w:rsid w:val="000711E3"/>
    <w:rsid w:val="0007143A"/>
    <w:rsid w:val="000732E4"/>
    <w:rsid w:val="00074E69"/>
    <w:rsid w:val="00080010"/>
    <w:rsid w:val="00082DD1"/>
    <w:rsid w:val="0008450F"/>
    <w:rsid w:val="00086659"/>
    <w:rsid w:val="000A0D3F"/>
    <w:rsid w:val="000A16E3"/>
    <w:rsid w:val="000A234B"/>
    <w:rsid w:val="000A39B7"/>
    <w:rsid w:val="000A41E7"/>
    <w:rsid w:val="000A488D"/>
    <w:rsid w:val="000A6C8B"/>
    <w:rsid w:val="000B1A96"/>
    <w:rsid w:val="000B1AAD"/>
    <w:rsid w:val="000B3887"/>
    <w:rsid w:val="000B594D"/>
    <w:rsid w:val="000C04F8"/>
    <w:rsid w:val="000C21B2"/>
    <w:rsid w:val="000C74AA"/>
    <w:rsid w:val="000C79E2"/>
    <w:rsid w:val="000D0FEE"/>
    <w:rsid w:val="000E09D2"/>
    <w:rsid w:val="000E4044"/>
    <w:rsid w:val="000E61C4"/>
    <w:rsid w:val="000E6E48"/>
    <w:rsid w:val="000E6E83"/>
    <w:rsid w:val="00104445"/>
    <w:rsid w:val="00104752"/>
    <w:rsid w:val="00106901"/>
    <w:rsid w:val="00114449"/>
    <w:rsid w:val="001145AE"/>
    <w:rsid w:val="00115670"/>
    <w:rsid w:val="0011684C"/>
    <w:rsid w:val="0012104D"/>
    <w:rsid w:val="00122A74"/>
    <w:rsid w:val="00125442"/>
    <w:rsid w:val="0013193A"/>
    <w:rsid w:val="0013345F"/>
    <w:rsid w:val="0013422C"/>
    <w:rsid w:val="00134245"/>
    <w:rsid w:val="0014109C"/>
    <w:rsid w:val="00145177"/>
    <w:rsid w:val="001452DF"/>
    <w:rsid w:val="001471CF"/>
    <w:rsid w:val="00151B5C"/>
    <w:rsid w:val="001521B4"/>
    <w:rsid w:val="00153034"/>
    <w:rsid w:val="00154586"/>
    <w:rsid w:val="001561A1"/>
    <w:rsid w:val="001619B1"/>
    <w:rsid w:val="00163128"/>
    <w:rsid w:val="00163E78"/>
    <w:rsid w:val="0016460C"/>
    <w:rsid w:val="0016513C"/>
    <w:rsid w:val="0016650D"/>
    <w:rsid w:val="00166774"/>
    <w:rsid w:val="001704C7"/>
    <w:rsid w:val="0017150D"/>
    <w:rsid w:val="00172212"/>
    <w:rsid w:val="0017361C"/>
    <w:rsid w:val="00174A3C"/>
    <w:rsid w:val="0018008C"/>
    <w:rsid w:val="00180763"/>
    <w:rsid w:val="00184064"/>
    <w:rsid w:val="00186195"/>
    <w:rsid w:val="001A0EE6"/>
    <w:rsid w:val="001A36EB"/>
    <w:rsid w:val="001A423F"/>
    <w:rsid w:val="001A4A49"/>
    <w:rsid w:val="001A6B5F"/>
    <w:rsid w:val="001B0514"/>
    <w:rsid w:val="001B354D"/>
    <w:rsid w:val="001B3C10"/>
    <w:rsid w:val="001B3C3A"/>
    <w:rsid w:val="001B470D"/>
    <w:rsid w:val="001B4E56"/>
    <w:rsid w:val="001B4E6B"/>
    <w:rsid w:val="001B4F57"/>
    <w:rsid w:val="001C0F87"/>
    <w:rsid w:val="001C2668"/>
    <w:rsid w:val="001C319F"/>
    <w:rsid w:val="001C386A"/>
    <w:rsid w:val="001C452C"/>
    <w:rsid w:val="001C4611"/>
    <w:rsid w:val="001D2C0A"/>
    <w:rsid w:val="001D54B3"/>
    <w:rsid w:val="001E45AB"/>
    <w:rsid w:val="001F03FE"/>
    <w:rsid w:val="001F0835"/>
    <w:rsid w:val="001F0B95"/>
    <w:rsid w:val="001F2A17"/>
    <w:rsid w:val="001F471F"/>
    <w:rsid w:val="001F5177"/>
    <w:rsid w:val="00201AFE"/>
    <w:rsid w:val="00204FDB"/>
    <w:rsid w:val="00205C49"/>
    <w:rsid w:val="0020647B"/>
    <w:rsid w:val="00212D41"/>
    <w:rsid w:val="00213846"/>
    <w:rsid w:val="00213DDD"/>
    <w:rsid w:val="00215EB8"/>
    <w:rsid w:val="002263C4"/>
    <w:rsid w:val="002300E4"/>
    <w:rsid w:val="002313D9"/>
    <w:rsid w:val="0023578A"/>
    <w:rsid w:val="00237342"/>
    <w:rsid w:val="002403FB"/>
    <w:rsid w:val="002446A6"/>
    <w:rsid w:val="00250515"/>
    <w:rsid w:val="002511F1"/>
    <w:rsid w:val="00253679"/>
    <w:rsid w:val="00260A35"/>
    <w:rsid w:val="00260AE2"/>
    <w:rsid w:val="0026130D"/>
    <w:rsid w:val="002613E4"/>
    <w:rsid w:val="00262469"/>
    <w:rsid w:val="0026344E"/>
    <w:rsid w:val="00263601"/>
    <w:rsid w:val="00263BFD"/>
    <w:rsid w:val="00264748"/>
    <w:rsid w:val="00266B7C"/>
    <w:rsid w:val="0027222B"/>
    <w:rsid w:val="00272C32"/>
    <w:rsid w:val="00273D65"/>
    <w:rsid w:val="00275D45"/>
    <w:rsid w:val="002764D1"/>
    <w:rsid w:val="00276BAE"/>
    <w:rsid w:val="0027790E"/>
    <w:rsid w:val="00277D1E"/>
    <w:rsid w:val="002817C0"/>
    <w:rsid w:val="00281F24"/>
    <w:rsid w:val="00282F0C"/>
    <w:rsid w:val="00283D74"/>
    <w:rsid w:val="00285819"/>
    <w:rsid w:val="00285A91"/>
    <w:rsid w:val="00287F0D"/>
    <w:rsid w:val="002906E4"/>
    <w:rsid w:val="0029270F"/>
    <w:rsid w:val="00296A32"/>
    <w:rsid w:val="002A15E5"/>
    <w:rsid w:val="002A17E5"/>
    <w:rsid w:val="002A6550"/>
    <w:rsid w:val="002B3A9B"/>
    <w:rsid w:val="002B4931"/>
    <w:rsid w:val="002B6070"/>
    <w:rsid w:val="002B68F5"/>
    <w:rsid w:val="002C07FF"/>
    <w:rsid w:val="002C4669"/>
    <w:rsid w:val="002C490D"/>
    <w:rsid w:val="002C6B26"/>
    <w:rsid w:val="002C764C"/>
    <w:rsid w:val="002D001C"/>
    <w:rsid w:val="002D01BF"/>
    <w:rsid w:val="002D0F27"/>
    <w:rsid w:val="002D1CEE"/>
    <w:rsid w:val="002D3FF5"/>
    <w:rsid w:val="002D540F"/>
    <w:rsid w:val="002D677F"/>
    <w:rsid w:val="002E19CC"/>
    <w:rsid w:val="002E736D"/>
    <w:rsid w:val="002F0B6D"/>
    <w:rsid w:val="002F74E9"/>
    <w:rsid w:val="003019EF"/>
    <w:rsid w:val="00302EBB"/>
    <w:rsid w:val="003031A1"/>
    <w:rsid w:val="003048EE"/>
    <w:rsid w:val="00305562"/>
    <w:rsid w:val="003116A5"/>
    <w:rsid w:val="003134EC"/>
    <w:rsid w:val="00323B63"/>
    <w:rsid w:val="00324466"/>
    <w:rsid w:val="00327995"/>
    <w:rsid w:val="00330D51"/>
    <w:rsid w:val="0033323F"/>
    <w:rsid w:val="003342BB"/>
    <w:rsid w:val="00334F1D"/>
    <w:rsid w:val="00336288"/>
    <w:rsid w:val="00337264"/>
    <w:rsid w:val="00342E8D"/>
    <w:rsid w:val="0034409D"/>
    <w:rsid w:val="003459B6"/>
    <w:rsid w:val="0034636B"/>
    <w:rsid w:val="00346547"/>
    <w:rsid w:val="0034707B"/>
    <w:rsid w:val="00351DC1"/>
    <w:rsid w:val="00353882"/>
    <w:rsid w:val="00355B76"/>
    <w:rsid w:val="003568A4"/>
    <w:rsid w:val="0036191E"/>
    <w:rsid w:val="00361D73"/>
    <w:rsid w:val="00363EAB"/>
    <w:rsid w:val="003654F8"/>
    <w:rsid w:val="00370747"/>
    <w:rsid w:val="00370A6B"/>
    <w:rsid w:val="00371B46"/>
    <w:rsid w:val="00372216"/>
    <w:rsid w:val="0037289D"/>
    <w:rsid w:val="003769E9"/>
    <w:rsid w:val="003809BE"/>
    <w:rsid w:val="00382CA2"/>
    <w:rsid w:val="00383939"/>
    <w:rsid w:val="00386569"/>
    <w:rsid w:val="00387A7D"/>
    <w:rsid w:val="00390DD7"/>
    <w:rsid w:val="0039555A"/>
    <w:rsid w:val="003A22F4"/>
    <w:rsid w:val="003A54C5"/>
    <w:rsid w:val="003A6F64"/>
    <w:rsid w:val="003A7A7D"/>
    <w:rsid w:val="003B31AB"/>
    <w:rsid w:val="003C0919"/>
    <w:rsid w:val="003C56D1"/>
    <w:rsid w:val="003D02CF"/>
    <w:rsid w:val="003D26B5"/>
    <w:rsid w:val="003D3222"/>
    <w:rsid w:val="003D35B5"/>
    <w:rsid w:val="003D45D8"/>
    <w:rsid w:val="003D609D"/>
    <w:rsid w:val="003E053F"/>
    <w:rsid w:val="003E0811"/>
    <w:rsid w:val="003E762C"/>
    <w:rsid w:val="003F1FB2"/>
    <w:rsid w:val="003F5F07"/>
    <w:rsid w:val="003F6C8D"/>
    <w:rsid w:val="003F6D69"/>
    <w:rsid w:val="003F6D9F"/>
    <w:rsid w:val="00402131"/>
    <w:rsid w:val="004040CD"/>
    <w:rsid w:val="0041046C"/>
    <w:rsid w:val="00411227"/>
    <w:rsid w:val="004135F0"/>
    <w:rsid w:val="00417A4A"/>
    <w:rsid w:val="0042362C"/>
    <w:rsid w:val="00427ADC"/>
    <w:rsid w:val="004320B2"/>
    <w:rsid w:val="00441C1F"/>
    <w:rsid w:val="00442A7B"/>
    <w:rsid w:val="00442CD6"/>
    <w:rsid w:val="004501D6"/>
    <w:rsid w:val="004562F8"/>
    <w:rsid w:val="00457BE2"/>
    <w:rsid w:val="004607C3"/>
    <w:rsid w:val="004617C6"/>
    <w:rsid w:val="004617E4"/>
    <w:rsid w:val="00465620"/>
    <w:rsid w:val="00470188"/>
    <w:rsid w:val="00470B67"/>
    <w:rsid w:val="004723AE"/>
    <w:rsid w:val="004726D8"/>
    <w:rsid w:val="00473EB8"/>
    <w:rsid w:val="00477969"/>
    <w:rsid w:val="00480493"/>
    <w:rsid w:val="00483780"/>
    <w:rsid w:val="00484029"/>
    <w:rsid w:val="00486138"/>
    <w:rsid w:val="004862E2"/>
    <w:rsid w:val="00490C03"/>
    <w:rsid w:val="004912D3"/>
    <w:rsid w:val="004A09F3"/>
    <w:rsid w:val="004A5612"/>
    <w:rsid w:val="004A5DFE"/>
    <w:rsid w:val="004A5F37"/>
    <w:rsid w:val="004A6AC9"/>
    <w:rsid w:val="004A7A1C"/>
    <w:rsid w:val="004A7E7B"/>
    <w:rsid w:val="004B17D3"/>
    <w:rsid w:val="004B4857"/>
    <w:rsid w:val="004B64AC"/>
    <w:rsid w:val="004B6FF9"/>
    <w:rsid w:val="004B7CD3"/>
    <w:rsid w:val="004C006A"/>
    <w:rsid w:val="004C0728"/>
    <w:rsid w:val="004C3625"/>
    <w:rsid w:val="004C4355"/>
    <w:rsid w:val="004D0FAF"/>
    <w:rsid w:val="004D1193"/>
    <w:rsid w:val="004D30B3"/>
    <w:rsid w:val="004D42C5"/>
    <w:rsid w:val="004D4818"/>
    <w:rsid w:val="004D5D9C"/>
    <w:rsid w:val="004D79DB"/>
    <w:rsid w:val="004E08D9"/>
    <w:rsid w:val="004E205C"/>
    <w:rsid w:val="004E2936"/>
    <w:rsid w:val="004E37CA"/>
    <w:rsid w:val="004E4645"/>
    <w:rsid w:val="004E4669"/>
    <w:rsid w:val="004F0E61"/>
    <w:rsid w:val="004F15D8"/>
    <w:rsid w:val="004F29E4"/>
    <w:rsid w:val="004F5CDB"/>
    <w:rsid w:val="004F61E9"/>
    <w:rsid w:val="00501CAE"/>
    <w:rsid w:val="00501F3F"/>
    <w:rsid w:val="00506D53"/>
    <w:rsid w:val="005075A6"/>
    <w:rsid w:val="00510141"/>
    <w:rsid w:val="00510AC0"/>
    <w:rsid w:val="0051394A"/>
    <w:rsid w:val="00514628"/>
    <w:rsid w:val="0051697F"/>
    <w:rsid w:val="00521EEE"/>
    <w:rsid w:val="00525E79"/>
    <w:rsid w:val="005262C5"/>
    <w:rsid w:val="0052697F"/>
    <w:rsid w:val="0053036B"/>
    <w:rsid w:val="00536199"/>
    <w:rsid w:val="00542270"/>
    <w:rsid w:val="00547855"/>
    <w:rsid w:val="00547B9A"/>
    <w:rsid w:val="0055234A"/>
    <w:rsid w:val="00554740"/>
    <w:rsid w:val="00557EA2"/>
    <w:rsid w:val="00564B1E"/>
    <w:rsid w:val="00565751"/>
    <w:rsid w:val="00570408"/>
    <w:rsid w:val="005707ED"/>
    <w:rsid w:val="005714D8"/>
    <w:rsid w:val="00573F36"/>
    <w:rsid w:val="00575088"/>
    <w:rsid w:val="00580F06"/>
    <w:rsid w:val="00580F1F"/>
    <w:rsid w:val="0058553C"/>
    <w:rsid w:val="0058675F"/>
    <w:rsid w:val="00586814"/>
    <w:rsid w:val="00586FCC"/>
    <w:rsid w:val="00590965"/>
    <w:rsid w:val="00591ED2"/>
    <w:rsid w:val="005924F5"/>
    <w:rsid w:val="0059444C"/>
    <w:rsid w:val="0059456A"/>
    <w:rsid w:val="005963C1"/>
    <w:rsid w:val="005A3F1C"/>
    <w:rsid w:val="005A43D6"/>
    <w:rsid w:val="005A5642"/>
    <w:rsid w:val="005A584C"/>
    <w:rsid w:val="005A66E4"/>
    <w:rsid w:val="005B00B4"/>
    <w:rsid w:val="005B2AEF"/>
    <w:rsid w:val="005B4575"/>
    <w:rsid w:val="005C0C05"/>
    <w:rsid w:val="005D20F1"/>
    <w:rsid w:val="005D4F1D"/>
    <w:rsid w:val="005D532E"/>
    <w:rsid w:val="005D7D8D"/>
    <w:rsid w:val="005E580A"/>
    <w:rsid w:val="005E60D4"/>
    <w:rsid w:val="005E729E"/>
    <w:rsid w:val="005F2A4F"/>
    <w:rsid w:val="00603FD9"/>
    <w:rsid w:val="0061445E"/>
    <w:rsid w:val="006152DF"/>
    <w:rsid w:val="0061765B"/>
    <w:rsid w:val="00620471"/>
    <w:rsid w:val="006217CE"/>
    <w:rsid w:val="006267EA"/>
    <w:rsid w:val="006270DF"/>
    <w:rsid w:val="00627CDC"/>
    <w:rsid w:val="00635727"/>
    <w:rsid w:val="00635B94"/>
    <w:rsid w:val="00635F68"/>
    <w:rsid w:val="0063692E"/>
    <w:rsid w:val="0063710B"/>
    <w:rsid w:val="00642B13"/>
    <w:rsid w:val="00644C17"/>
    <w:rsid w:val="00647C49"/>
    <w:rsid w:val="0065155A"/>
    <w:rsid w:val="00654218"/>
    <w:rsid w:val="00655436"/>
    <w:rsid w:val="006559C4"/>
    <w:rsid w:val="0066095F"/>
    <w:rsid w:val="00663FD2"/>
    <w:rsid w:val="00665F43"/>
    <w:rsid w:val="00666BCD"/>
    <w:rsid w:val="00673582"/>
    <w:rsid w:val="00673FA0"/>
    <w:rsid w:val="006771A0"/>
    <w:rsid w:val="006829AC"/>
    <w:rsid w:val="00682CCA"/>
    <w:rsid w:val="00684075"/>
    <w:rsid w:val="00684526"/>
    <w:rsid w:val="0068568C"/>
    <w:rsid w:val="00686056"/>
    <w:rsid w:val="006878AD"/>
    <w:rsid w:val="0069099C"/>
    <w:rsid w:val="00690F6A"/>
    <w:rsid w:val="00692AA8"/>
    <w:rsid w:val="006938AC"/>
    <w:rsid w:val="00694655"/>
    <w:rsid w:val="00694D0C"/>
    <w:rsid w:val="0069660C"/>
    <w:rsid w:val="00697B82"/>
    <w:rsid w:val="006A06F6"/>
    <w:rsid w:val="006A1456"/>
    <w:rsid w:val="006A279C"/>
    <w:rsid w:val="006A3C67"/>
    <w:rsid w:val="006A71A1"/>
    <w:rsid w:val="006B0DF7"/>
    <w:rsid w:val="006B138F"/>
    <w:rsid w:val="006B166A"/>
    <w:rsid w:val="006C40B9"/>
    <w:rsid w:val="006C593A"/>
    <w:rsid w:val="006C61DA"/>
    <w:rsid w:val="006D159D"/>
    <w:rsid w:val="006D1893"/>
    <w:rsid w:val="006D20F5"/>
    <w:rsid w:val="006D2443"/>
    <w:rsid w:val="006D2868"/>
    <w:rsid w:val="006D3A36"/>
    <w:rsid w:val="006D4890"/>
    <w:rsid w:val="006D60D3"/>
    <w:rsid w:val="006E0C6F"/>
    <w:rsid w:val="006E1C2A"/>
    <w:rsid w:val="006E5153"/>
    <w:rsid w:val="006F0A3A"/>
    <w:rsid w:val="006F0C9D"/>
    <w:rsid w:val="006F433A"/>
    <w:rsid w:val="00702530"/>
    <w:rsid w:val="00706770"/>
    <w:rsid w:val="00707198"/>
    <w:rsid w:val="00712069"/>
    <w:rsid w:val="00714302"/>
    <w:rsid w:val="00720220"/>
    <w:rsid w:val="00720770"/>
    <w:rsid w:val="00720F95"/>
    <w:rsid w:val="007210E1"/>
    <w:rsid w:val="00721DA1"/>
    <w:rsid w:val="007220E7"/>
    <w:rsid w:val="00725B5D"/>
    <w:rsid w:val="007261C0"/>
    <w:rsid w:val="00726855"/>
    <w:rsid w:val="0072696F"/>
    <w:rsid w:val="00726B9B"/>
    <w:rsid w:val="00731BA1"/>
    <w:rsid w:val="00735EEC"/>
    <w:rsid w:val="00737EEA"/>
    <w:rsid w:val="00740C64"/>
    <w:rsid w:val="007437E5"/>
    <w:rsid w:val="007447D0"/>
    <w:rsid w:val="0074648B"/>
    <w:rsid w:val="0074755D"/>
    <w:rsid w:val="00752C73"/>
    <w:rsid w:val="00755D84"/>
    <w:rsid w:val="00756E88"/>
    <w:rsid w:val="00760824"/>
    <w:rsid w:val="00762228"/>
    <w:rsid w:val="0076267A"/>
    <w:rsid w:val="007665A3"/>
    <w:rsid w:val="00770A33"/>
    <w:rsid w:val="00771764"/>
    <w:rsid w:val="007731C0"/>
    <w:rsid w:val="0077760E"/>
    <w:rsid w:val="00780604"/>
    <w:rsid w:val="00782935"/>
    <w:rsid w:val="00782F87"/>
    <w:rsid w:val="0078403A"/>
    <w:rsid w:val="007854D4"/>
    <w:rsid w:val="00785FC6"/>
    <w:rsid w:val="0078678E"/>
    <w:rsid w:val="00786CC4"/>
    <w:rsid w:val="00791475"/>
    <w:rsid w:val="00791AD2"/>
    <w:rsid w:val="0079208A"/>
    <w:rsid w:val="007924EB"/>
    <w:rsid w:val="007934F2"/>
    <w:rsid w:val="00793B87"/>
    <w:rsid w:val="00793B8C"/>
    <w:rsid w:val="00793F60"/>
    <w:rsid w:val="0079720A"/>
    <w:rsid w:val="007A15B3"/>
    <w:rsid w:val="007A5223"/>
    <w:rsid w:val="007A778C"/>
    <w:rsid w:val="007B0074"/>
    <w:rsid w:val="007B0A9E"/>
    <w:rsid w:val="007B3AF9"/>
    <w:rsid w:val="007B458B"/>
    <w:rsid w:val="007B46E1"/>
    <w:rsid w:val="007B4C6F"/>
    <w:rsid w:val="007B79B3"/>
    <w:rsid w:val="007B7F2F"/>
    <w:rsid w:val="007C0CA7"/>
    <w:rsid w:val="007C0F42"/>
    <w:rsid w:val="007C1DF7"/>
    <w:rsid w:val="007C2925"/>
    <w:rsid w:val="007C34AB"/>
    <w:rsid w:val="007C3627"/>
    <w:rsid w:val="007C4476"/>
    <w:rsid w:val="007D0D2F"/>
    <w:rsid w:val="007D1456"/>
    <w:rsid w:val="007D1787"/>
    <w:rsid w:val="007D1B9A"/>
    <w:rsid w:val="007D56F6"/>
    <w:rsid w:val="007E200E"/>
    <w:rsid w:val="007E32C7"/>
    <w:rsid w:val="007F01CD"/>
    <w:rsid w:val="007F61FB"/>
    <w:rsid w:val="007F6755"/>
    <w:rsid w:val="007F6906"/>
    <w:rsid w:val="00802D56"/>
    <w:rsid w:val="00810565"/>
    <w:rsid w:val="00813DD0"/>
    <w:rsid w:val="0081466A"/>
    <w:rsid w:val="00817F51"/>
    <w:rsid w:val="00832DD4"/>
    <w:rsid w:val="00836328"/>
    <w:rsid w:val="00836CBB"/>
    <w:rsid w:val="0084006F"/>
    <w:rsid w:val="008400A5"/>
    <w:rsid w:val="008400A7"/>
    <w:rsid w:val="00840BAF"/>
    <w:rsid w:val="0084342D"/>
    <w:rsid w:val="00843ABF"/>
    <w:rsid w:val="0084477B"/>
    <w:rsid w:val="00845FA4"/>
    <w:rsid w:val="008474C5"/>
    <w:rsid w:val="00847DC7"/>
    <w:rsid w:val="00851FE9"/>
    <w:rsid w:val="00852FF8"/>
    <w:rsid w:val="00856899"/>
    <w:rsid w:val="00860079"/>
    <w:rsid w:val="0086326B"/>
    <w:rsid w:val="00863E72"/>
    <w:rsid w:val="0086734C"/>
    <w:rsid w:val="008743FC"/>
    <w:rsid w:val="00874687"/>
    <w:rsid w:val="008810FF"/>
    <w:rsid w:val="008825FD"/>
    <w:rsid w:val="00885322"/>
    <w:rsid w:val="00886EE8"/>
    <w:rsid w:val="0089613A"/>
    <w:rsid w:val="008A02C1"/>
    <w:rsid w:val="008A0301"/>
    <w:rsid w:val="008A4F36"/>
    <w:rsid w:val="008A6F5F"/>
    <w:rsid w:val="008B0C74"/>
    <w:rsid w:val="008B0D49"/>
    <w:rsid w:val="008B19BB"/>
    <w:rsid w:val="008B35B3"/>
    <w:rsid w:val="008B3873"/>
    <w:rsid w:val="008B4240"/>
    <w:rsid w:val="008B4DF4"/>
    <w:rsid w:val="008B571C"/>
    <w:rsid w:val="008B7539"/>
    <w:rsid w:val="008B762F"/>
    <w:rsid w:val="008C2749"/>
    <w:rsid w:val="008C3242"/>
    <w:rsid w:val="008C4743"/>
    <w:rsid w:val="008D01FC"/>
    <w:rsid w:val="008D2065"/>
    <w:rsid w:val="008D45ED"/>
    <w:rsid w:val="008E0923"/>
    <w:rsid w:val="008E1FB2"/>
    <w:rsid w:val="008E27C4"/>
    <w:rsid w:val="008E6376"/>
    <w:rsid w:val="008F2669"/>
    <w:rsid w:val="009012E7"/>
    <w:rsid w:val="009020D9"/>
    <w:rsid w:val="009036AE"/>
    <w:rsid w:val="00905A64"/>
    <w:rsid w:val="00905B97"/>
    <w:rsid w:val="00911C5A"/>
    <w:rsid w:val="0091264E"/>
    <w:rsid w:val="009136D8"/>
    <w:rsid w:val="00914D7D"/>
    <w:rsid w:val="009159E1"/>
    <w:rsid w:val="00920C53"/>
    <w:rsid w:val="00921DE5"/>
    <w:rsid w:val="00925ABC"/>
    <w:rsid w:val="009261AC"/>
    <w:rsid w:val="009277AC"/>
    <w:rsid w:val="009312E9"/>
    <w:rsid w:val="00931F11"/>
    <w:rsid w:val="00941035"/>
    <w:rsid w:val="0094268F"/>
    <w:rsid w:val="00943112"/>
    <w:rsid w:val="00946D71"/>
    <w:rsid w:val="00947486"/>
    <w:rsid w:val="00947B4B"/>
    <w:rsid w:val="00953627"/>
    <w:rsid w:val="009541B0"/>
    <w:rsid w:val="00956643"/>
    <w:rsid w:val="009655CF"/>
    <w:rsid w:val="009666A8"/>
    <w:rsid w:val="009712CB"/>
    <w:rsid w:val="009716EE"/>
    <w:rsid w:val="0097175A"/>
    <w:rsid w:val="0097350F"/>
    <w:rsid w:val="00974A29"/>
    <w:rsid w:val="00974C90"/>
    <w:rsid w:val="009754CE"/>
    <w:rsid w:val="009757F1"/>
    <w:rsid w:val="009758CC"/>
    <w:rsid w:val="009769E4"/>
    <w:rsid w:val="0098093C"/>
    <w:rsid w:val="00980979"/>
    <w:rsid w:val="009844B6"/>
    <w:rsid w:val="00985255"/>
    <w:rsid w:val="009863F5"/>
    <w:rsid w:val="00991E04"/>
    <w:rsid w:val="00992547"/>
    <w:rsid w:val="00992783"/>
    <w:rsid w:val="00996392"/>
    <w:rsid w:val="009972AA"/>
    <w:rsid w:val="009A1485"/>
    <w:rsid w:val="009A1689"/>
    <w:rsid w:val="009A21DB"/>
    <w:rsid w:val="009A272A"/>
    <w:rsid w:val="009A2989"/>
    <w:rsid w:val="009A29B4"/>
    <w:rsid w:val="009A33FF"/>
    <w:rsid w:val="009A3754"/>
    <w:rsid w:val="009A5A3E"/>
    <w:rsid w:val="009A64A0"/>
    <w:rsid w:val="009B0939"/>
    <w:rsid w:val="009B0B77"/>
    <w:rsid w:val="009B6CC2"/>
    <w:rsid w:val="009C00BE"/>
    <w:rsid w:val="009C0315"/>
    <w:rsid w:val="009C0D7F"/>
    <w:rsid w:val="009C20DB"/>
    <w:rsid w:val="009C2CAB"/>
    <w:rsid w:val="009C3C79"/>
    <w:rsid w:val="009C5ADC"/>
    <w:rsid w:val="009C61BC"/>
    <w:rsid w:val="009C669C"/>
    <w:rsid w:val="009D0C5A"/>
    <w:rsid w:val="009D17BE"/>
    <w:rsid w:val="009D1C2C"/>
    <w:rsid w:val="009D2E6A"/>
    <w:rsid w:val="009D2F61"/>
    <w:rsid w:val="009D7253"/>
    <w:rsid w:val="009E103C"/>
    <w:rsid w:val="009E151D"/>
    <w:rsid w:val="009E1976"/>
    <w:rsid w:val="009E2ED1"/>
    <w:rsid w:val="009E3C18"/>
    <w:rsid w:val="009E5C05"/>
    <w:rsid w:val="009F52B9"/>
    <w:rsid w:val="009F61F1"/>
    <w:rsid w:val="00A007A9"/>
    <w:rsid w:val="00A03297"/>
    <w:rsid w:val="00A03586"/>
    <w:rsid w:val="00A04CBD"/>
    <w:rsid w:val="00A07268"/>
    <w:rsid w:val="00A1010F"/>
    <w:rsid w:val="00A17E28"/>
    <w:rsid w:val="00A210B6"/>
    <w:rsid w:val="00A21803"/>
    <w:rsid w:val="00A228A1"/>
    <w:rsid w:val="00A26981"/>
    <w:rsid w:val="00A310CA"/>
    <w:rsid w:val="00A361F7"/>
    <w:rsid w:val="00A37523"/>
    <w:rsid w:val="00A40CCF"/>
    <w:rsid w:val="00A41CEF"/>
    <w:rsid w:val="00A428C4"/>
    <w:rsid w:val="00A43114"/>
    <w:rsid w:val="00A4740B"/>
    <w:rsid w:val="00A47D48"/>
    <w:rsid w:val="00A53312"/>
    <w:rsid w:val="00A539C3"/>
    <w:rsid w:val="00A54026"/>
    <w:rsid w:val="00A6084F"/>
    <w:rsid w:val="00A615F0"/>
    <w:rsid w:val="00A6245D"/>
    <w:rsid w:val="00A66C7E"/>
    <w:rsid w:val="00A82B3A"/>
    <w:rsid w:val="00A82EE3"/>
    <w:rsid w:val="00A90EB4"/>
    <w:rsid w:val="00A936FC"/>
    <w:rsid w:val="00AA09E1"/>
    <w:rsid w:val="00AA0C78"/>
    <w:rsid w:val="00AA5C2B"/>
    <w:rsid w:val="00AA5D8F"/>
    <w:rsid w:val="00AA6389"/>
    <w:rsid w:val="00AA7F74"/>
    <w:rsid w:val="00AB0360"/>
    <w:rsid w:val="00AB2B98"/>
    <w:rsid w:val="00AB2D9A"/>
    <w:rsid w:val="00AB2F9F"/>
    <w:rsid w:val="00AB3C66"/>
    <w:rsid w:val="00AB5457"/>
    <w:rsid w:val="00AB5EB9"/>
    <w:rsid w:val="00AB68E2"/>
    <w:rsid w:val="00AC023B"/>
    <w:rsid w:val="00AC079B"/>
    <w:rsid w:val="00AC4DF3"/>
    <w:rsid w:val="00AC60F5"/>
    <w:rsid w:val="00AC6ED8"/>
    <w:rsid w:val="00AC740E"/>
    <w:rsid w:val="00AC74CE"/>
    <w:rsid w:val="00AD048E"/>
    <w:rsid w:val="00AD15C0"/>
    <w:rsid w:val="00AD2463"/>
    <w:rsid w:val="00AD45FC"/>
    <w:rsid w:val="00AD56AE"/>
    <w:rsid w:val="00AF3D05"/>
    <w:rsid w:val="00AF3E07"/>
    <w:rsid w:val="00AF3FD7"/>
    <w:rsid w:val="00B0001E"/>
    <w:rsid w:val="00B0185D"/>
    <w:rsid w:val="00B01B71"/>
    <w:rsid w:val="00B03FB8"/>
    <w:rsid w:val="00B06F6E"/>
    <w:rsid w:val="00B16CAE"/>
    <w:rsid w:val="00B217C7"/>
    <w:rsid w:val="00B21942"/>
    <w:rsid w:val="00B25D9E"/>
    <w:rsid w:val="00B273D4"/>
    <w:rsid w:val="00B304F7"/>
    <w:rsid w:val="00B335F4"/>
    <w:rsid w:val="00B402C2"/>
    <w:rsid w:val="00B4280A"/>
    <w:rsid w:val="00B51DEA"/>
    <w:rsid w:val="00B53787"/>
    <w:rsid w:val="00B5529B"/>
    <w:rsid w:val="00B60CB7"/>
    <w:rsid w:val="00B62BC6"/>
    <w:rsid w:val="00B63243"/>
    <w:rsid w:val="00B643F8"/>
    <w:rsid w:val="00B66C26"/>
    <w:rsid w:val="00B7112C"/>
    <w:rsid w:val="00B728E3"/>
    <w:rsid w:val="00B75440"/>
    <w:rsid w:val="00B80ADA"/>
    <w:rsid w:val="00B817C6"/>
    <w:rsid w:val="00B82A4F"/>
    <w:rsid w:val="00B8560C"/>
    <w:rsid w:val="00B86039"/>
    <w:rsid w:val="00B868B6"/>
    <w:rsid w:val="00B87903"/>
    <w:rsid w:val="00B87C15"/>
    <w:rsid w:val="00B87C60"/>
    <w:rsid w:val="00B92394"/>
    <w:rsid w:val="00B93B4A"/>
    <w:rsid w:val="00B97D8A"/>
    <w:rsid w:val="00BA052F"/>
    <w:rsid w:val="00BA4B00"/>
    <w:rsid w:val="00BA5DEA"/>
    <w:rsid w:val="00BA6079"/>
    <w:rsid w:val="00BB03E5"/>
    <w:rsid w:val="00BB1FB4"/>
    <w:rsid w:val="00BB27B9"/>
    <w:rsid w:val="00BB2A25"/>
    <w:rsid w:val="00BB3562"/>
    <w:rsid w:val="00BC51C2"/>
    <w:rsid w:val="00BC5C76"/>
    <w:rsid w:val="00BD057D"/>
    <w:rsid w:val="00BD5609"/>
    <w:rsid w:val="00BD5F47"/>
    <w:rsid w:val="00BD774D"/>
    <w:rsid w:val="00BE2CE4"/>
    <w:rsid w:val="00BE2D0E"/>
    <w:rsid w:val="00BE5170"/>
    <w:rsid w:val="00BF14E6"/>
    <w:rsid w:val="00BF1609"/>
    <w:rsid w:val="00BF2F88"/>
    <w:rsid w:val="00BF5CB3"/>
    <w:rsid w:val="00BF647E"/>
    <w:rsid w:val="00BF710A"/>
    <w:rsid w:val="00C00CC7"/>
    <w:rsid w:val="00C04AF5"/>
    <w:rsid w:val="00C04FD9"/>
    <w:rsid w:val="00C07537"/>
    <w:rsid w:val="00C07EB3"/>
    <w:rsid w:val="00C109F3"/>
    <w:rsid w:val="00C12AC4"/>
    <w:rsid w:val="00C135A9"/>
    <w:rsid w:val="00C22C06"/>
    <w:rsid w:val="00C23F8F"/>
    <w:rsid w:val="00C25D1A"/>
    <w:rsid w:val="00C26A46"/>
    <w:rsid w:val="00C270DF"/>
    <w:rsid w:val="00C30226"/>
    <w:rsid w:val="00C326E9"/>
    <w:rsid w:val="00C32F6F"/>
    <w:rsid w:val="00C33D2B"/>
    <w:rsid w:val="00C357E6"/>
    <w:rsid w:val="00C363CD"/>
    <w:rsid w:val="00C40EC4"/>
    <w:rsid w:val="00C444B6"/>
    <w:rsid w:val="00C50504"/>
    <w:rsid w:val="00C50798"/>
    <w:rsid w:val="00C52296"/>
    <w:rsid w:val="00C62193"/>
    <w:rsid w:val="00C6300D"/>
    <w:rsid w:val="00C64953"/>
    <w:rsid w:val="00C73F55"/>
    <w:rsid w:val="00C741BC"/>
    <w:rsid w:val="00C746ED"/>
    <w:rsid w:val="00C7663F"/>
    <w:rsid w:val="00C8211D"/>
    <w:rsid w:val="00C87B1A"/>
    <w:rsid w:val="00C925F1"/>
    <w:rsid w:val="00C92722"/>
    <w:rsid w:val="00C94E20"/>
    <w:rsid w:val="00C9782E"/>
    <w:rsid w:val="00CA2B12"/>
    <w:rsid w:val="00CA35C5"/>
    <w:rsid w:val="00CA4C37"/>
    <w:rsid w:val="00CB0357"/>
    <w:rsid w:val="00CB31FC"/>
    <w:rsid w:val="00CB321B"/>
    <w:rsid w:val="00CB32B3"/>
    <w:rsid w:val="00CB48F5"/>
    <w:rsid w:val="00CB6291"/>
    <w:rsid w:val="00CB670F"/>
    <w:rsid w:val="00CB7A4E"/>
    <w:rsid w:val="00CC0ECC"/>
    <w:rsid w:val="00CC2220"/>
    <w:rsid w:val="00CC64CF"/>
    <w:rsid w:val="00CC6519"/>
    <w:rsid w:val="00CD090D"/>
    <w:rsid w:val="00CD0E27"/>
    <w:rsid w:val="00CD4AE1"/>
    <w:rsid w:val="00CD6BD8"/>
    <w:rsid w:val="00CE0002"/>
    <w:rsid w:val="00CE2DF2"/>
    <w:rsid w:val="00CE338F"/>
    <w:rsid w:val="00CE4C68"/>
    <w:rsid w:val="00CE5B30"/>
    <w:rsid w:val="00CE61F2"/>
    <w:rsid w:val="00CF1FD0"/>
    <w:rsid w:val="00CF411A"/>
    <w:rsid w:val="00CF4176"/>
    <w:rsid w:val="00CF4A37"/>
    <w:rsid w:val="00D000A8"/>
    <w:rsid w:val="00D00302"/>
    <w:rsid w:val="00D00ACA"/>
    <w:rsid w:val="00D024A3"/>
    <w:rsid w:val="00D0267F"/>
    <w:rsid w:val="00D04663"/>
    <w:rsid w:val="00D06674"/>
    <w:rsid w:val="00D10CF2"/>
    <w:rsid w:val="00D11EFA"/>
    <w:rsid w:val="00D12867"/>
    <w:rsid w:val="00D17097"/>
    <w:rsid w:val="00D17884"/>
    <w:rsid w:val="00D17936"/>
    <w:rsid w:val="00D20885"/>
    <w:rsid w:val="00D24B78"/>
    <w:rsid w:val="00D24EF5"/>
    <w:rsid w:val="00D2792C"/>
    <w:rsid w:val="00D331DC"/>
    <w:rsid w:val="00D35FA1"/>
    <w:rsid w:val="00D43402"/>
    <w:rsid w:val="00D43647"/>
    <w:rsid w:val="00D442E5"/>
    <w:rsid w:val="00D44AD3"/>
    <w:rsid w:val="00D44E29"/>
    <w:rsid w:val="00D45363"/>
    <w:rsid w:val="00D50426"/>
    <w:rsid w:val="00D50749"/>
    <w:rsid w:val="00D5363B"/>
    <w:rsid w:val="00D53E43"/>
    <w:rsid w:val="00D57150"/>
    <w:rsid w:val="00D572BE"/>
    <w:rsid w:val="00D64599"/>
    <w:rsid w:val="00D6517B"/>
    <w:rsid w:val="00D652CA"/>
    <w:rsid w:val="00D663CA"/>
    <w:rsid w:val="00D75432"/>
    <w:rsid w:val="00D75892"/>
    <w:rsid w:val="00D762DD"/>
    <w:rsid w:val="00D76DFC"/>
    <w:rsid w:val="00D81413"/>
    <w:rsid w:val="00D90021"/>
    <w:rsid w:val="00D9015E"/>
    <w:rsid w:val="00D90446"/>
    <w:rsid w:val="00D9210D"/>
    <w:rsid w:val="00D95AEA"/>
    <w:rsid w:val="00D95EA7"/>
    <w:rsid w:val="00D96D40"/>
    <w:rsid w:val="00DA03E7"/>
    <w:rsid w:val="00DA111C"/>
    <w:rsid w:val="00DA1EA4"/>
    <w:rsid w:val="00DA7D13"/>
    <w:rsid w:val="00DB039F"/>
    <w:rsid w:val="00DB1712"/>
    <w:rsid w:val="00DB2A79"/>
    <w:rsid w:val="00DB699B"/>
    <w:rsid w:val="00DB7A67"/>
    <w:rsid w:val="00DC0887"/>
    <w:rsid w:val="00DC0FB6"/>
    <w:rsid w:val="00DC4330"/>
    <w:rsid w:val="00DC48E0"/>
    <w:rsid w:val="00DC4C5C"/>
    <w:rsid w:val="00DC52C4"/>
    <w:rsid w:val="00DC671C"/>
    <w:rsid w:val="00DC71F1"/>
    <w:rsid w:val="00DC727D"/>
    <w:rsid w:val="00DC7E58"/>
    <w:rsid w:val="00DD048B"/>
    <w:rsid w:val="00DD06F3"/>
    <w:rsid w:val="00DD5A85"/>
    <w:rsid w:val="00DD5ED0"/>
    <w:rsid w:val="00DE5378"/>
    <w:rsid w:val="00DE67B4"/>
    <w:rsid w:val="00DE7D83"/>
    <w:rsid w:val="00DF1CEF"/>
    <w:rsid w:val="00DF2CA3"/>
    <w:rsid w:val="00DF326F"/>
    <w:rsid w:val="00DF4C96"/>
    <w:rsid w:val="00DF562B"/>
    <w:rsid w:val="00DF6B7F"/>
    <w:rsid w:val="00E03F54"/>
    <w:rsid w:val="00E05DCE"/>
    <w:rsid w:val="00E1228A"/>
    <w:rsid w:val="00E231DC"/>
    <w:rsid w:val="00E2595D"/>
    <w:rsid w:val="00E269F2"/>
    <w:rsid w:val="00E27726"/>
    <w:rsid w:val="00E304A9"/>
    <w:rsid w:val="00E32E99"/>
    <w:rsid w:val="00E42592"/>
    <w:rsid w:val="00E45B3C"/>
    <w:rsid w:val="00E4681B"/>
    <w:rsid w:val="00E506EC"/>
    <w:rsid w:val="00E517C4"/>
    <w:rsid w:val="00E55A24"/>
    <w:rsid w:val="00E61421"/>
    <w:rsid w:val="00E615AE"/>
    <w:rsid w:val="00E61B00"/>
    <w:rsid w:val="00E656EE"/>
    <w:rsid w:val="00E70E98"/>
    <w:rsid w:val="00E72696"/>
    <w:rsid w:val="00E74028"/>
    <w:rsid w:val="00E75B74"/>
    <w:rsid w:val="00E75FEB"/>
    <w:rsid w:val="00E807D4"/>
    <w:rsid w:val="00E83503"/>
    <w:rsid w:val="00E904C3"/>
    <w:rsid w:val="00E90BC4"/>
    <w:rsid w:val="00E93737"/>
    <w:rsid w:val="00E94D02"/>
    <w:rsid w:val="00E968C4"/>
    <w:rsid w:val="00EA075F"/>
    <w:rsid w:val="00EA2161"/>
    <w:rsid w:val="00EA2519"/>
    <w:rsid w:val="00EA3284"/>
    <w:rsid w:val="00EA5B98"/>
    <w:rsid w:val="00EB38F1"/>
    <w:rsid w:val="00EB4486"/>
    <w:rsid w:val="00EB4C27"/>
    <w:rsid w:val="00EB75B8"/>
    <w:rsid w:val="00EB7907"/>
    <w:rsid w:val="00EC07C5"/>
    <w:rsid w:val="00EC1A46"/>
    <w:rsid w:val="00EC3E6A"/>
    <w:rsid w:val="00ED0F08"/>
    <w:rsid w:val="00ED48BA"/>
    <w:rsid w:val="00ED4C61"/>
    <w:rsid w:val="00ED5036"/>
    <w:rsid w:val="00ED7D88"/>
    <w:rsid w:val="00EE2F6E"/>
    <w:rsid w:val="00EE37EF"/>
    <w:rsid w:val="00EE4707"/>
    <w:rsid w:val="00EE50F9"/>
    <w:rsid w:val="00EE71E9"/>
    <w:rsid w:val="00EE7259"/>
    <w:rsid w:val="00EF010D"/>
    <w:rsid w:val="00EF2291"/>
    <w:rsid w:val="00EF3698"/>
    <w:rsid w:val="00EF4A21"/>
    <w:rsid w:val="00EF572D"/>
    <w:rsid w:val="00EF7A96"/>
    <w:rsid w:val="00F05818"/>
    <w:rsid w:val="00F07C8B"/>
    <w:rsid w:val="00F10985"/>
    <w:rsid w:val="00F11656"/>
    <w:rsid w:val="00F12C42"/>
    <w:rsid w:val="00F13EA8"/>
    <w:rsid w:val="00F13FE9"/>
    <w:rsid w:val="00F141CC"/>
    <w:rsid w:val="00F14E1F"/>
    <w:rsid w:val="00F17781"/>
    <w:rsid w:val="00F17D2D"/>
    <w:rsid w:val="00F21299"/>
    <w:rsid w:val="00F2561F"/>
    <w:rsid w:val="00F263B0"/>
    <w:rsid w:val="00F329C7"/>
    <w:rsid w:val="00F34E44"/>
    <w:rsid w:val="00F35311"/>
    <w:rsid w:val="00F37CBF"/>
    <w:rsid w:val="00F421E3"/>
    <w:rsid w:val="00F42C4B"/>
    <w:rsid w:val="00F517DD"/>
    <w:rsid w:val="00F56704"/>
    <w:rsid w:val="00F577C7"/>
    <w:rsid w:val="00F57DE2"/>
    <w:rsid w:val="00F62CB5"/>
    <w:rsid w:val="00F63754"/>
    <w:rsid w:val="00F63E2E"/>
    <w:rsid w:val="00F66AF3"/>
    <w:rsid w:val="00F67A62"/>
    <w:rsid w:val="00F71E26"/>
    <w:rsid w:val="00F75D56"/>
    <w:rsid w:val="00F8194B"/>
    <w:rsid w:val="00F8526D"/>
    <w:rsid w:val="00F85301"/>
    <w:rsid w:val="00F87446"/>
    <w:rsid w:val="00F87566"/>
    <w:rsid w:val="00F907D1"/>
    <w:rsid w:val="00F91FBC"/>
    <w:rsid w:val="00F941A6"/>
    <w:rsid w:val="00F954EA"/>
    <w:rsid w:val="00FA09B5"/>
    <w:rsid w:val="00FA0B43"/>
    <w:rsid w:val="00FA4099"/>
    <w:rsid w:val="00FB4993"/>
    <w:rsid w:val="00FB741B"/>
    <w:rsid w:val="00FC04E4"/>
    <w:rsid w:val="00FC08D3"/>
    <w:rsid w:val="00FC18BD"/>
    <w:rsid w:val="00FC2FBC"/>
    <w:rsid w:val="00FC4FE3"/>
    <w:rsid w:val="00FD13C0"/>
    <w:rsid w:val="00FD28B3"/>
    <w:rsid w:val="00FD29F7"/>
    <w:rsid w:val="00FD54AD"/>
    <w:rsid w:val="00FD7822"/>
    <w:rsid w:val="00FD7F6F"/>
    <w:rsid w:val="00FE63D9"/>
    <w:rsid w:val="00FE7EFA"/>
    <w:rsid w:val="00FF143D"/>
    <w:rsid w:val="00FF2665"/>
    <w:rsid w:val="00FF36C4"/>
    <w:rsid w:val="00FF572D"/>
    <w:rsid w:val="00FF5848"/>
    <w:rsid w:val="01F0265E"/>
    <w:rsid w:val="026B785E"/>
    <w:rsid w:val="029032F2"/>
    <w:rsid w:val="029838CB"/>
    <w:rsid w:val="03213051"/>
    <w:rsid w:val="034B64DC"/>
    <w:rsid w:val="0369351C"/>
    <w:rsid w:val="03C2479F"/>
    <w:rsid w:val="03D52025"/>
    <w:rsid w:val="047622DB"/>
    <w:rsid w:val="0579142C"/>
    <w:rsid w:val="05AA7878"/>
    <w:rsid w:val="064D5686"/>
    <w:rsid w:val="086B6E04"/>
    <w:rsid w:val="08DF0273"/>
    <w:rsid w:val="09CB56D0"/>
    <w:rsid w:val="09E60C70"/>
    <w:rsid w:val="0A0D2DA9"/>
    <w:rsid w:val="0A813864"/>
    <w:rsid w:val="0B6F619E"/>
    <w:rsid w:val="0BB0260C"/>
    <w:rsid w:val="0C0571AE"/>
    <w:rsid w:val="0C113C9C"/>
    <w:rsid w:val="0CF36B43"/>
    <w:rsid w:val="0D2E6260"/>
    <w:rsid w:val="0E2F1867"/>
    <w:rsid w:val="0EC82BA5"/>
    <w:rsid w:val="0F851F2F"/>
    <w:rsid w:val="0FB04E1A"/>
    <w:rsid w:val="102D1EA6"/>
    <w:rsid w:val="11AE4DD3"/>
    <w:rsid w:val="12656177"/>
    <w:rsid w:val="128875E6"/>
    <w:rsid w:val="13724B4D"/>
    <w:rsid w:val="13951510"/>
    <w:rsid w:val="149665F2"/>
    <w:rsid w:val="15CF32F5"/>
    <w:rsid w:val="16151DBB"/>
    <w:rsid w:val="16177834"/>
    <w:rsid w:val="16B47AEA"/>
    <w:rsid w:val="186F416F"/>
    <w:rsid w:val="195607FC"/>
    <w:rsid w:val="19EE4912"/>
    <w:rsid w:val="19F56E14"/>
    <w:rsid w:val="1A221E20"/>
    <w:rsid w:val="1A8802AD"/>
    <w:rsid w:val="1BBF0B31"/>
    <w:rsid w:val="1BF7244D"/>
    <w:rsid w:val="1C666D48"/>
    <w:rsid w:val="1CFF1ABA"/>
    <w:rsid w:val="1D4670AD"/>
    <w:rsid w:val="1F5B7825"/>
    <w:rsid w:val="207D4D08"/>
    <w:rsid w:val="2088381B"/>
    <w:rsid w:val="20966F16"/>
    <w:rsid w:val="21E01B52"/>
    <w:rsid w:val="22071599"/>
    <w:rsid w:val="22635EB7"/>
    <w:rsid w:val="23826D38"/>
    <w:rsid w:val="243C59F2"/>
    <w:rsid w:val="245C5BCF"/>
    <w:rsid w:val="24847912"/>
    <w:rsid w:val="26640D04"/>
    <w:rsid w:val="26B93C8A"/>
    <w:rsid w:val="26ED2967"/>
    <w:rsid w:val="27704070"/>
    <w:rsid w:val="27EB500D"/>
    <w:rsid w:val="27EB6712"/>
    <w:rsid w:val="28174DCA"/>
    <w:rsid w:val="284E2B97"/>
    <w:rsid w:val="289555AD"/>
    <w:rsid w:val="29EE06DF"/>
    <w:rsid w:val="2A335171"/>
    <w:rsid w:val="2B530694"/>
    <w:rsid w:val="2C362403"/>
    <w:rsid w:val="2D007805"/>
    <w:rsid w:val="2DBA3EE9"/>
    <w:rsid w:val="2E4035D3"/>
    <w:rsid w:val="2FA349A7"/>
    <w:rsid w:val="3002120B"/>
    <w:rsid w:val="30641C15"/>
    <w:rsid w:val="30D0322C"/>
    <w:rsid w:val="311319F0"/>
    <w:rsid w:val="317625C5"/>
    <w:rsid w:val="31FB454C"/>
    <w:rsid w:val="32776048"/>
    <w:rsid w:val="33517261"/>
    <w:rsid w:val="33DB1E63"/>
    <w:rsid w:val="36513788"/>
    <w:rsid w:val="369313F4"/>
    <w:rsid w:val="37403DBF"/>
    <w:rsid w:val="389D1302"/>
    <w:rsid w:val="38D3176D"/>
    <w:rsid w:val="39666756"/>
    <w:rsid w:val="397C174E"/>
    <w:rsid w:val="3BBE450D"/>
    <w:rsid w:val="3C9D0F95"/>
    <w:rsid w:val="3CB15D84"/>
    <w:rsid w:val="3D08404F"/>
    <w:rsid w:val="3E5741A5"/>
    <w:rsid w:val="3EE71B46"/>
    <w:rsid w:val="401F4D75"/>
    <w:rsid w:val="402C1B48"/>
    <w:rsid w:val="408B2C98"/>
    <w:rsid w:val="413B6FE4"/>
    <w:rsid w:val="41540FED"/>
    <w:rsid w:val="42110E10"/>
    <w:rsid w:val="43257012"/>
    <w:rsid w:val="44B2548A"/>
    <w:rsid w:val="44FC15C1"/>
    <w:rsid w:val="45836AF3"/>
    <w:rsid w:val="45DF0864"/>
    <w:rsid w:val="47A625F1"/>
    <w:rsid w:val="485F01EC"/>
    <w:rsid w:val="488273EC"/>
    <w:rsid w:val="48DF6091"/>
    <w:rsid w:val="490D2618"/>
    <w:rsid w:val="499E2148"/>
    <w:rsid w:val="4A1A37BD"/>
    <w:rsid w:val="4A6A78E1"/>
    <w:rsid w:val="4BEE696E"/>
    <w:rsid w:val="4DB02D71"/>
    <w:rsid w:val="4DF012DC"/>
    <w:rsid w:val="4F5F1358"/>
    <w:rsid w:val="4FF33AF1"/>
    <w:rsid w:val="500F08E6"/>
    <w:rsid w:val="50E8377C"/>
    <w:rsid w:val="51D3007D"/>
    <w:rsid w:val="5292095A"/>
    <w:rsid w:val="53223399"/>
    <w:rsid w:val="532C718A"/>
    <w:rsid w:val="53C2320E"/>
    <w:rsid w:val="53FB1A60"/>
    <w:rsid w:val="552047D3"/>
    <w:rsid w:val="556F7DFF"/>
    <w:rsid w:val="55B058A4"/>
    <w:rsid w:val="567D3C0F"/>
    <w:rsid w:val="57151659"/>
    <w:rsid w:val="57461A60"/>
    <w:rsid w:val="578F46D2"/>
    <w:rsid w:val="584B7464"/>
    <w:rsid w:val="59E127AE"/>
    <w:rsid w:val="5A23466A"/>
    <w:rsid w:val="5A442119"/>
    <w:rsid w:val="5C5D1F6E"/>
    <w:rsid w:val="5C621648"/>
    <w:rsid w:val="5CB4504F"/>
    <w:rsid w:val="5D6C3D84"/>
    <w:rsid w:val="5D6D745B"/>
    <w:rsid w:val="5E440FFB"/>
    <w:rsid w:val="5E6674CC"/>
    <w:rsid w:val="5F2C6BDD"/>
    <w:rsid w:val="604C4A18"/>
    <w:rsid w:val="604F520D"/>
    <w:rsid w:val="60562B9A"/>
    <w:rsid w:val="61A757FA"/>
    <w:rsid w:val="65035E25"/>
    <w:rsid w:val="651615E2"/>
    <w:rsid w:val="65285A30"/>
    <w:rsid w:val="6600795B"/>
    <w:rsid w:val="66905A39"/>
    <w:rsid w:val="67165D4A"/>
    <w:rsid w:val="6786560F"/>
    <w:rsid w:val="685166A1"/>
    <w:rsid w:val="694E6C50"/>
    <w:rsid w:val="6A9968AE"/>
    <w:rsid w:val="6AB01AF6"/>
    <w:rsid w:val="6B1174E9"/>
    <w:rsid w:val="6B544194"/>
    <w:rsid w:val="6C051A03"/>
    <w:rsid w:val="6C6A062B"/>
    <w:rsid w:val="6C9D0411"/>
    <w:rsid w:val="6CC2291D"/>
    <w:rsid w:val="6CFB321B"/>
    <w:rsid w:val="6D267A43"/>
    <w:rsid w:val="6F2C108E"/>
    <w:rsid w:val="70D66AD8"/>
    <w:rsid w:val="71A639E2"/>
    <w:rsid w:val="72174F5B"/>
    <w:rsid w:val="72276780"/>
    <w:rsid w:val="72913278"/>
    <w:rsid w:val="73172A55"/>
    <w:rsid w:val="745023E0"/>
    <w:rsid w:val="74621D3E"/>
    <w:rsid w:val="757E69B8"/>
    <w:rsid w:val="759E3EE9"/>
    <w:rsid w:val="761A215B"/>
    <w:rsid w:val="7621335D"/>
    <w:rsid w:val="765D644D"/>
    <w:rsid w:val="770D0111"/>
    <w:rsid w:val="77D41A8B"/>
    <w:rsid w:val="792C3337"/>
    <w:rsid w:val="7A3351A6"/>
    <w:rsid w:val="7AC761E2"/>
    <w:rsid w:val="7C240E84"/>
    <w:rsid w:val="7CCF3C8F"/>
    <w:rsid w:val="7CD6353E"/>
    <w:rsid w:val="7D0560F5"/>
    <w:rsid w:val="7D796B21"/>
    <w:rsid w:val="7E44440C"/>
    <w:rsid w:val="7E5760A6"/>
    <w:rsid w:val="7E784F83"/>
    <w:rsid w:val="7ED226B5"/>
    <w:rsid w:val="7FDA39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63"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line="288" w:lineRule="auto"/>
    </w:pPr>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rPr>
      <w:rFonts w:ascii="Times New Roman" w:hAnsi="Times New Roman"/>
    </w:rPr>
  </w:style>
  <w:style w:type="paragraph" w:styleId="4">
    <w:name w:val="heading 3"/>
    <w:basedOn w:val="3"/>
    <w:next w:val="1"/>
    <w:qFormat/>
    <w:uiPriority w:val="0"/>
    <w:pPr>
      <w:outlineLvl w:val="2"/>
    </w:pPr>
  </w:style>
  <w:style w:type="paragraph" w:styleId="5">
    <w:name w:val="heading 4"/>
    <w:basedOn w:val="4"/>
    <w:next w:val="1"/>
    <w:link w:val="24"/>
    <w:qFormat/>
    <w:uiPriority w:val="0"/>
    <w:pPr>
      <w:tabs>
        <w:tab w:val="left" w:pos="2694"/>
      </w:tabs>
      <w:ind w:left="708"/>
      <w:outlineLvl w:val="3"/>
    </w:pPr>
    <w:rPr>
      <w:rFonts w:ascii="Arial" w:hAnsi="Arial"/>
      <w:b w:val="0"/>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1">
    <w:name w:val="Default Paragraph Font"/>
    <w:semiHidden/>
    <w:qFormat/>
    <w:uiPriority w:val="0"/>
  </w:style>
  <w:style w:type="table" w:default="1" w:styleId="19">
    <w:name w:val="Normal Table"/>
    <w:unhideWhenUsed/>
    <w:qFormat/>
    <w:uiPriority w:val="99"/>
    <w:tblPr>
      <w:tblCellMar>
        <w:top w:w="0" w:type="dxa"/>
        <w:left w:w="108" w:type="dxa"/>
        <w:bottom w:w="0" w:type="dxa"/>
        <w:right w:w="108" w:type="dxa"/>
      </w:tblCellMar>
    </w:tblPr>
  </w:style>
  <w:style w:type="paragraph" w:styleId="11">
    <w:name w:val="caption"/>
    <w:basedOn w:val="1"/>
    <w:next w:val="1"/>
    <w:qFormat/>
    <w:uiPriority w:val="0"/>
    <w:pPr>
      <w:jc w:val="center"/>
    </w:pPr>
    <w:rPr>
      <w:b/>
      <w:bCs/>
    </w:rPr>
  </w:style>
  <w:style w:type="paragraph" w:styleId="12">
    <w:name w:val="annotation text"/>
    <w:basedOn w:val="1"/>
    <w:link w:val="25"/>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Balloon Text"/>
    <w:basedOn w:val="1"/>
    <w:link w:val="26"/>
    <w:unhideWhenUsed/>
    <w:qFormat/>
    <w:uiPriority w:val="99"/>
    <w:rPr>
      <w:rFonts w:ascii="Segoe UI" w:hAnsi="Segoe UI" w:cs="Segoe UI"/>
      <w:sz w:val="18"/>
      <w:szCs w:val="18"/>
    </w:rPr>
  </w:style>
  <w:style w:type="paragraph" w:styleId="15">
    <w:name w:val="footer"/>
    <w:basedOn w:val="1"/>
    <w:semiHidden/>
    <w:qFormat/>
    <w:uiPriority w:val="0"/>
    <w:pPr>
      <w:tabs>
        <w:tab w:val="center" w:pos="4153"/>
        <w:tab w:val="right" w:pos="8306"/>
      </w:tabs>
    </w:pPr>
  </w:style>
  <w:style w:type="paragraph" w:styleId="16">
    <w:name w:val="header"/>
    <w:basedOn w:val="1"/>
    <w:semiHidden/>
    <w:qFormat/>
    <w:uiPriority w:val="0"/>
    <w:pPr>
      <w:tabs>
        <w:tab w:val="center" w:pos="4153"/>
        <w:tab w:val="right" w:pos="8306"/>
      </w:tabs>
    </w:pPr>
  </w:style>
  <w:style w:type="paragraph" w:styleId="17">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18">
    <w:name w:val="annotation subject"/>
    <w:basedOn w:val="12"/>
    <w:next w:val="12"/>
    <w:link w:val="27"/>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0">
    <w:name w:val="Table Grid"/>
    <w:basedOn w:val="1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semiHidden/>
    <w:qFormat/>
    <w:uiPriority w:val="0"/>
  </w:style>
  <w:style w:type="character" w:styleId="23">
    <w:name w:val="annotation reference"/>
    <w:semiHidden/>
    <w:qFormat/>
    <w:uiPriority w:val="0"/>
    <w:rPr>
      <w:sz w:val="16"/>
    </w:rPr>
  </w:style>
  <w:style w:type="character" w:customStyle="1" w:styleId="24">
    <w:name w:val="标题 4 字符"/>
    <w:link w:val="5"/>
    <w:qFormat/>
    <w:uiPriority w:val="0"/>
    <w:rPr>
      <w:rFonts w:ascii="Arial" w:hAnsi="Arial"/>
      <w:b/>
    </w:rPr>
  </w:style>
  <w:style w:type="character" w:customStyle="1" w:styleId="25">
    <w:name w:val="批注文字 字符"/>
    <w:link w:val="12"/>
    <w:semiHidden/>
    <w:qFormat/>
    <w:uiPriority w:val="0"/>
    <w:rPr>
      <w:rFonts w:ascii="Arial" w:hAnsi="Arial"/>
      <w:lang w:val="en-GB" w:eastAsia="en-US"/>
    </w:rPr>
  </w:style>
  <w:style w:type="character" w:customStyle="1" w:styleId="26">
    <w:name w:val="批注框文本 字符"/>
    <w:link w:val="14"/>
    <w:semiHidden/>
    <w:qFormat/>
    <w:uiPriority w:val="99"/>
    <w:rPr>
      <w:rFonts w:ascii="Segoe UI" w:hAnsi="Segoe UI" w:cs="Segoe UI"/>
      <w:sz w:val="18"/>
      <w:szCs w:val="18"/>
      <w:lang w:eastAsia="en-US"/>
    </w:rPr>
  </w:style>
  <w:style w:type="character" w:customStyle="1" w:styleId="27">
    <w:name w:val="批注主题 字符"/>
    <w:link w:val="18"/>
    <w:semiHidden/>
    <w:qFormat/>
    <w:uiPriority w:val="99"/>
    <w:rPr>
      <w:rFonts w:ascii="Arial" w:hAnsi="Arial"/>
      <w:b/>
      <w:bCs/>
      <w:lang w:val="en-GB" w:eastAsia="en-US"/>
    </w:rPr>
  </w:style>
  <w:style w:type="paragraph" w:customStyle="1" w:styleId="28">
    <w:name w:val="B1"/>
    <w:basedOn w:val="1"/>
    <w:qFormat/>
    <w:uiPriority w:val="0"/>
    <w:pPr>
      <w:ind w:left="567" w:hanging="567"/>
      <w:jc w:val="both"/>
    </w:pPr>
    <w:rPr>
      <w:rFonts w:ascii="Arial" w:hAnsi="Arial"/>
    </w:rPr>
  </w:style>
  <w:style w:type="paragraph" w:customStyle="1" w:styleId="29">
    <w:name w:val="00 BodyText"/>
    <w:basedOn w:val="1"/>
    <w:qFormat/>
    <w:uiPriority w:val="0"/>
    <w:pPr>
      <w:spacing w:after="220"/>
    </w:pPr>
    <w:rPr>
      <w:rFonts w:ascii="Arial" w:hAnsi="Arial"/>
      <w:sz w:val="22"/>
      <w:lang w:val="en-US"/>
    </w:rPr>
  </w:style>
  <w:style w:type="paragraph" w:customStyle="1" w:styleId="30">
    <w:name w:val="??"/>
    <w:qFormat/>
    <w:uiPriority w:val="0"/>
    <w:pPr>
      <w:widowControl w:val="0"/>
    </w:pPr>
    <w:rPr>
      <w:rFonts w:ascii="Times New Roman" w:hAnsi="Times New Roman" w:eastAsia="宋体" w:cs="Times New Roman"/>
      <w:lang w:val="en-US" w:eastAsia="en-US" w:bidi="ar-SA"/>
    </w:rPr>
  </w:style>
  <w:style w:type="paragraph" w:customStyle="1" w:styleId="31">
    <w:name w:val="??? 2"/>
    <w:basedOn w:val="30"/>
    <w:next w:val="30"/>
    <w:qFormat/>
    <w:uiPriority w:val="0"/>
    <w:pPr>
      <w:keepNext/>
    </w:pPr>
    <w:rPr>
      <w:rFonts w:ascii="Arial" w:hAnsi="Arial"/>
      <w:b/>
      <w:sz w:val="24"/>
    </w:rPr>
  </w:style>
  <w:style w:type="paragraph" w:customStyle="1" w:styleId="32">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3">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4">
    <w:name w:val="done"/>
    <w:basedOn w:val="33"/>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35">
    <w:name w:val="Not Done"/>
    <w:basedOn w:val="34"/>
    <w:qFormat/>
    <w:uiPriority w:val="0"/>
    <w:pPr>
      <w:numPr>
        <w:numId w:val="4"/>
      </w:numPr>
      <w:tabs>
        <w:tab w:val="left" w:pos="0"/>
      </w:tabs>
    </w:pPr>
    <w:rPr>
      <w:color w:val="FF0000"/>
    </w:rPr>
  </w:style>
  <w:style w:type="paragraph" w:styleId="36">
    <w:name w:val="List Paragraph"/>
    <w:basedOn w:val="1"/>
    <w:qFormat/>
    <w:uiPriority w:val="63"/>
    <w:pPr>
      <w:widowControl w:val="0"/>
      <w:ind w:firstLine="420" w:firstLineChars="200"/>
      <w:jc w:val="both"/>
    </w:pPr>
    <w:rPr>
      <w:rFonts w:ascii="等线" w:hAnsi="等线" w:eastAsia="等线"/>
      <w:kern w:val="2"/>
      <w:sz w:val="21"/>
      <w:szCs w:val="22"/>
      <w:lang w:val="en-US" w:eastAsia="zh-CN"/>
    </w:rPr>
  </w:style>
  <w:style w:type="paragraph" w:customStyle="1" w:styleId="37">
    <w:name w:val="YC"/>
    <w:basedOn w:val="3"/>
    <w:qFormat/>
    <w:uiPriority w:val="0"/>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38">
    <w:name w:val="15"/>
    <w:qFormat/>
    <w:uiPriority w:val="0"/>
    <w:rPr>
      <w:rFonts w:hint="default" w:ascii="Arial" w:hAnsi="Arial" w:eastAsia="宋体" w:cs="Arial"/>
      <w:color w:val="0000FF"/>
      <w:kern w:val="2"/>
    </w:rPr>
  </w:style>
  <w:style w:type="paragraph" w:customStyle="1" w:styleId="39">
    <w:name w:val="Default"/>
    <w:unhideWhenUsed/>
    <w:qFormat/>
    <w:uiPriority w:val="99"/>
    <w:pPr>
      <w:widowControl w:val="0"/>
      <w:autoSpaceDE w:val="0"/>
      <w:autoSpaceDN w:val="0"/>
      <w:adjustRightInd w:val="0"/>
    </w:pPr>
    <w:rPr>
      <w:rFonts w:hint="eastAsia" w:ascii="Times New Roman" w:hAnsi="Times New Roman" w:eastAsia="Times New Roman" w:cs="Times New Roman"/>
      <w:color w:val="000000"/>
      <w:sz w:val="24"/>
      <w:szCs w:val="24"/>
      <w:lang w:val="en-US" w:eastAsia="zh-CN" w:bidi="ar-SA"/>
    </w:rPr>
  </w:style>
  <w:style w:type="paragraph" w:customStyle="1" w:styleId="40">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customStyle="1" w:styleId="41">
    <w:name w:val="TH"/>
    <w:basedOn w:val="1"/>
    <w:qFormat/>
    <w:uiPriority w:val="0"/>
    <w:pPr>
      <w:keepNext/>
      <w:keepLines/>
      <w:spacing w:before="60"/>
      <w:jc w:val="center"/>
    </w:pPr>
    <w:rPr>
      <w:rFonts w:ascii="Arial" w:hAnsi="Arial"/>
      <w:b/>
    </w:rPr>
  </w:style>
  <w:style w:type="paragraph" w:customStyle="1" w:styleId="42">
    <w:name w:val="TAH"/>
    <w:basedOn w:val="43"/>
    <w:qFormat/>
    <w:uiPriority w:val="99"/>
    <w:rPr>
      <w:b/>
    </w:rPr>
  </w:style>
  <w:style w:type="paragraph" w:customStyle="1" w:styleId="43">
    <w:name w:val="TAC"/>
    <w:basedOn w:val="44"/>
    <w:qFormat/>
    <w:uiPriority w:val="0"/>
    <w:pPr>
      <w:jc w:val="center"/>
    </w:pPr>
  </w:style>
  <w:style w:type="paragraph" w:customStyle="1" w:styleId="44">
    <w:name w:val="TAL"/>
    <w:basedOn w:val="1"/>
    <w:qFormat/>
    <w:uiPriority w:val="0"/>
    <w:pPr>
      <w:keepNext/>
      <w:keepLines/>
      <w:spacing w:after="0"/>
    </w:pPr>
    <w:rPr>
      <w:rFonts w:ascii="Arial" w:hAnsi="Arial"/>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image" Target="media/image2.emf"/><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5</Pages>
  <Words>1663</Words>
  <Characters>8441</Characters>
  <Lines>455</Lines>
  <Paragraphs>128</Paragraphs>
  <TotalTime>12</TotalTime>
  <ScaleCrop>false</ScaleCrop>
  <LinksUpToDate>false</LinksUpToDate>
  <CharactersWithSpaces>10090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2022-11-07T02:33:00Z</dcterms:created>
  <dc:creator>CMCC</dc:creator>
  <cp:lastModifiedBy>CMCC-hulijie</cp:lastModifiedBy>
  <cp:lastPrinted>2002-04-23T01:10:00Z</cp:lastPrinted>
  <dcterms:modified xsi:type="dcterms:W3CDTF">2023-02-17T04:44:29Z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03B052C7EF3B409A9A6F07FD060EE7F5</vt:lpwstr>
  </property>
</Properties>
</file>